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A/2055/2011 vom 25. August 2011</w:t>
      </w:r>
    </w:p>
    <w:p>
      <w:r>
        <w:t>GE Cour de justice, 2011-08-25, FR</w:t>
      </w:r>
    </w:p>
    <w:p>
      <w:r>
        <w:rPr>
          <w:b/>
        </w:rPr>
        <w:t xml:space="preserve">Quelle: </w:t>
      </w:r>
      <w:r>
        <w:t>https://mcp.opencaselaw.ch/entscheid/ge_gerichte_A_2055_2011</w:t>
      </w:r>
    </w:p>
    <w:p>
      <w:r>
        <w:t>FR: GE_GERICHTE A/2055/2011 du 25 août 2011</w:t>
      </w:r>
    </w:p>
    <w:p>
      <w:r>
        <w:t>IT: GE_GERICHTE A/2055/2011 del 25 agosto 2011</w:t>
      </w:r>
    </w:p>
    <w:p>
      <w:pPr>
        <w:pStyle w:val="Heading2"/>
      </w:pPr>
      <w:r>
        <w:t>Regeste</w:t>
      </w:r>
    </w:p>
    <w:p>
      <w:r>
        <w:t>Minimum vital; Contributions d'entretien (enfants de l'épouse vivant à l'étranger); Amende. | Refus de tenir compte d'une charge au titre de l'entretien des enfants, le poursuivi n'ayant fourni aucune preuve relative aux frais de ceux-ci auxquels seraient affectées les sommes qu'il verse. | LP.93.1; 93.3</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L'exécution d'une saisie de revenu, en l'occurrence d'une rente servie par une institution de prévoyance professionnelle, laquelle est relativement saisissable (art. 93 al. 1 LP; arrêts du Tribunal fédéral 7B.253/2003 du 23 décembre 2003 consid. 3.1 et 7B.234/2003 du 17 novembre 2003 consid. 3; DCSO/289/2010 du 17 juin 2010 consid. 3),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La plainte est toutefois recevable en tout temps lorsque la mesure attaquée porte atteinte au minimum vital du débiteur et de sa famille et les place dans une situation intolérable (art. 22 LP; ATF 114 III 78 consid. 3, JdT 1990 II 162; Flavio Cometta , SchKG I, ad art. 22 n° 13; Georges Vonder Mühll , SchKG II, ad art. 93 LP n° 65 ss).</w:t>
      </w:r>
    </w:p>
    <w:p>
      <w:r>
        <w:rPr>
          <w:b/>
        </w:rPr>
        <w:t>E. 2</w:t>
      </w:r>
    </w:p>
    <w:p>
      <w:r>
        <w:t>2.1. Dans ses trois dernières décisions ( DCSO/455/2010 ; DCSO/528/2010 et DCSO/1071/2011 ), l'Autorité de céans a rappelé au plaignant que seules les charges effectivement payées pouvaient être prises en compte dans le calcul du minimum vital (ATF 121 III 20 , JdT 1997 II 163 et les réf. citées; ATF 120 III 16 , JdT 1996 II 179). Dans sa décision du 23 juin 2011 ( DCSO/1071/2011 ), elle a, en outre, indiqué qu'à l'avenir l'Office ne pourra, en particulier, inclure la prime d'assurance maladie de l'épouse du poursuivi dans le calcul du minimum vital que si et pour autant que celui-ci lui communique la police d'assurance maladie ainsi que les justificatifs du paiement régulier de cette charge, étant relevé que seul le paiement de la prime d'assurance maladie du mois de février 2011 était, en l'état, démontré (consid. 2.1.2). Or, il appert que le plaignant n'a pas justifié le paiement de cette prime à compter du mois de mars 2011.</w:t>
      </w:r>
    </w:p>
    <w:p>
      <w:r>
        <w:rPr>
          <w:b/>
        </w:rPr>
        <w:t>E. 2.2</w:t>
      </w:r>
    </w:p>
    <w:p>
      <w:r>
        <w:t>S'agissant de la contribution à l'entretien des enfants de son épouse, restés au V______, l'Autorité de céans a également rappelé au plaignant, dans les décisions précitées (cf. également DCSO/289/2010 du 17 juin 2010), que des contributions d'entretien payées à l'étranger ne pouvaient être prises en compte dans le calcul du minimum vital que pour autant que le motif de leur paiement et leur versement soient suffisamment prouvés (BlSchK 2008 148). A l'appui de la présente plainte, le plaignant a, pour la première fois, produit des certificats de scolarité pour l'année 2010-2011 concernant les quatre enfants, âgés respectivement de 15, 17 et 19 ans, et déclaré que ces derniers étaient entretenus par la sœur de son épouse et la paroisse. Il a également produit des reçus attestant de trois versements en faveur de Mme N______ pour les mois de mars (792 fr.), avril (700 fr.) et juin 2011 (600 fr.). Il sied de relever que les versements effectués par le plaignant en août (300 fr.), octobre (400 fr.) et novembre 2010 (650 fr.), soit durant l'année scolaire alléguée, l'avaient été en faveur de Mme P______ et/ou Mme Q______ (cf. DCSO/528/2010 , consid. A.b in fine ). En outre, le plaignant ne fournit aucune preuve relative aux frais (écolage et entretien de chacun des enfants dont, selon ses allégués, deux sont pris en charge par la paroisse et deux par la sœur de son épouse), auxquels seraient affectées ces sommes irrégulièrement versées. En l'état, l'Autorité de céans ne peut en conséquence que refuser de tenir compte d'une charge au titre de l'entretien de ces enfants.</w:t>
      </w:r>
    </w:p>
    <w:p>
      <w:r>
        <w:rPr>
          <w:b/>
        </w:rPr>
        <w:t>E. 2.3</w:t>
      </w:r>
    </w:p>
    <w:p>
      <w:r>
        <w:t>Il sera rappelé au plaignant que s'il peut justifier du paiement des charges qu'il allègue, il lui appartient de s'adresser directement à l'Office, qui, le cas échéant, devra en tenir compte dans le calcul du minimum vital et modifier en conséquence la quotité saisissable (art. 93 al. 3 LP ; SJ 2000 II 211 ch. 4.2).</w:t>
      </w:r>
    </w:p>
    <w:p>
      <w:r>
        <w:rPr>
          <w:b/>
        </w:rPr>
        <w:t>E. 3</w:t>
      </w:r>
    </w:p>
    <w:p>
      <w:r>
        <w:t>Infondée, la plainte sera rejetée dans la mesure de sa recevabilité.</w:t>
      </w:r>
    </w:p>
    <w:p>
      <w:r>
        <w:rPr>
          <w:b/>
        </w:rPr>
        <w:t>E. 4.1</w:t>
      </w:r>
    </w:p>
    <w:p>
      <w:r>
        <w:t>La procédure de plainte est gratuite, en ce sens qu’il est en principe statué sans frais ni dépens (art. 20a al. 2 ch. 5 LP; art. 61 al. 2 let. a et 62 al. 2 OELP). Le principe de la gratuité trouve toutefois sa limite en cas de procédés dilatoires ou téméraires et en application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Flavio Cometta , in SchKG I, ad art. 20a n° 11; Franco Lorandi , op. cit. ad art. 20a n° 13 ss; Kurt Amonn / Fridolin Walther , Grundriss, 7 ème éd. 2003, § 13 n° 14). A l’absence de toute chance de succès de la plainte doit s’ajouter le dessein d’agir de manière téméraire (Pauline Erard , in CR-LP, ad art. 20a n° 44 ss).</w:t>
      </w:r>
    </w:p>
    <w:p>
      <w:r>
        <w:rPr>
          <w:b/>
        </w:rPr>
        <w:t>E. 4.2</w:t>
      </w:r>
    </w:p>
    <w:p>
      <w:r>
        <w:t>En l'espèce, l'Autorité de céans renoncera à mettre une amende à la charge du plaignant. Ce dernier est toutefois formellement informé qu'à l'avenir, s'il devait, à nouveau, porter plainte contre la saisie exécutée dans le cadre des séries n os 10 xxxx18 M et 11 xxxx98 E au motif qu'il n'a pas été tenu compte de la prime d'assurance maladie de son épouse et de l'entretien des enfants de celle-ci, alors même qu'il n'a pas justifié auprès de l'Office du montant (en produisant la police d'assurance) et de versements réguliers de cette prime, ainsi que des frais, pour chacun des enfants, auxquels sont affectées les sommes qu'il verse au V______ (cf. consid. 2.2 ci-dessus), une amende lui sera infligée. * * * * * PAR CES MOTIFS, L'Autorité de surveillance : Rejette, dans la mesure de sa recevabilité, la plainte formée le 30 juin 2011 par M. B______ contre la saisie de rente exécutée à son encontre. Siégeant : Madame Ariane WEYENETH, présidente; Madame Florence CASTELLA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