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A/2050/2024 vom 24. März 2025</w:t>
      </w:r>
    </w:p>
    <w:p>
      <w:r>
        <w:t>GE Cour de justice, 2025-03-24, FR</w:t>
      </w:r>
    </w:p>
    <w:p>
      <w:r>
        <w:rPr>
          <w:b/>
        </w:rPr>
        <w:t xml:space="preserve">Quelle: </w:t>
      </w:r>
      <w:r>
        <w:t>https://mcp.opencaselaw.ch/entscheid/ge_gerichte_A_2050_2024</w:t>
      </w:r>
    </w:p>
    <w:p>
      <w:r>
        <w:t>FR: GE_GERICHTE A/2050/2024 du 24 mars 2025</w:t>
      </w:r>
    </w:p>
    <w:p>
      <w:r>
        <w:t>IT: GE_GERICHTE A/2050/2024 del 24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Interjeté dans la forme et le délai prévus par la loi, le recours est recevable (art. 56 LPGA ; art. 62 al. 1 de la loi sur la procédure administrative du 12 septembre 1985 - LPA - E 5 10).</w:t>
      </w:r>
    </w:p>
    <w:p>
      <w:r>
        <w:rPr>
          <w:b/>
        </w:rPr>
        <w:t>E. 2.1</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2.2</w:t>
      </w:r>
    </w:p>
    <w:p>
      <w:r>
        <w:t>En l’espèce, la recourante a déposé sa deuxième demande de prestations le 25 avril 2023, de sorte que son éventuel droit à une rente naîtrait le 1 er octobre 2023 au plus tôt (art. 29 al. 1 et 3 LAI). Cette date étant postérieure au changement de loi, le nouveau droit s’applique.</w:t>
      </w:r>
    </w:p>
    <w:p>
      <w:r>
        <w:rPr>
          <w:b/>
        </w:rPr>
        <w:t>E. 3</w:t>
      </w:r>
    </w:p>
    <w:p>
      <w:r>
        <w:t>Le litige porte sur le droit de la recourante à une rente d’invalidité à compter du 1 er juin 2024 uniquement, le versement avec effet rétroactif de la rente faisant l’objet d’une décision distincte, non visée par la présente procédure. En particulier, le litige porte sur l’invalidité dans la sphère ménagère, ce qui pose la question de la valeur probante de l’enquête économique sur le ménage, le statut mixte reconnu par l’OAI n’étant pas contesté par la recourante.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 art. 28 al. 1 LAI). Une rente au sens de l’art. 28a al. 1 LAI n’est pas octroyée tant que toutes les possibilités de réadaptation au sens de l’art. 8 al. 1 bis et 1 ter LAI n’ont pas été épuisées (art. 28a al. 1 bis LAI).</w:t>
      </w:r>
    </w:p>
    <w:p>
      <w:r>
        <w:rPr>
          <w:b/>
        </w:rPr>
        <w:t>E. 4.2</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w:t>
      </w:r>
    </w:p>
    <w:p>
      <w:r>
        <w:rPr>
          <w:b/>
        </w:rPr>
        <w:t>E. 4.2.1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on applique dans ce cas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w:t>
      </w:r>
    </w:p>
    <w:p>
      <w:r>
        <w:rPr>
          <w:b/>
        </w:rPr>
        <w:t>E. 4.2.2</w:t>
      </w:r>
    </w:p>
    <w:p>
      <w:r>
        <w:t>Selon l’art. 28a al. 2 LAI, dans sa teneur en vigueur dès le 1 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w:t>
      </w:r>
    </w:p>
    <w:p>
      <w:r>
        <w:rPr>
          <w:b/>
        </w:rPr>
        <w:t>E. 4.2.3</w:t>
      </w:r>
    </w:p>
    <w:p>
      <w:r>
        <w:t>Conformément à l’art. 28a al. 3 LAI, dans sa teneur en vigueur dès le 1 er janvier 2022,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À teneur de l’art. 27 bis al. 1 RAI, le taux d’invalidité des personnes qui exercent une activité lucrative à temps partiel est déterminé par l’addition des taux suivants : a. le taux d’invalidité en lien avec l’activité lucrative ; b. le taux d’invalidité en lien avec les travaux habituels. Quant à l’art. 27 bis al. 2 RAI, il prévoit que le taux d’invalidité en lien avec l’activité lucrative est déterminé : a. en extrapolant le revenu sans invalidité pour une activité lucrative correspondant à un taux d’occupation de 100 % ; b. en calculant le revenu avec invalidité sur la base d’une activité lucrative correspondant à un taux d’occupation de 100 % et en l’adaptant selon la capacité fonctionnelle déterminante ; c. en pondérant la perte de gain exprimée en pourcentage en fonction du taux d’occupation qu’aurait l’assuré s’il n’était pas invalide. Enfin, selon l’art. 27 bis al. 3 RAI, le taux d’invalidité en lien avec les travaux habituels est calculé : a. en déterminant le pourcentage que représentent les limitations dans les travaux habituels par rapport à la situation dans laquelle l’assuré serait sans invalidité ; b. en pondérant le pourcentage déterminé à la let. a en fonction de la différence entre le taux d’occupation visé à l’al. 2, let. c, et une activité lucrative exercée à plein temps.</w:t>
      </w:r>
    </w:p>
    <w:p>
      <w:r>
        <w:rPr>
          <w:b/>
        </w:rPr>
        <w:t>E. 5.1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5.2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publié in VSI 2003 p. 221 ; arrêts du Tribunal fédéral 9C_625/2017 du 26 mars 2018 consid. 6.2 ; I 733/06 du 16 juillet 2007).</w:t>
      </w:r>
    </w:p>
    <w:p>
      <w:r>
        <w:rPr>
          <w:b/>
        </w:rPr>
        <w:t>E. 5.3</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5.4</w:t>
      </w:r>
    </w:p>
    <w:p>
      <w:r>
        <w:t>Concernant l’exigibilité de la famille, le Tribunal fédéral a rappelé, dans une affaire récente, qu'en l'absence d'éléments concrets permettant de nier la valeur probante de l'enquête à domicile ou de s'écarter de l'appréciation de l'enquêtrice pour fixer l'exigibilité de la participation des proches aux travaux ménagers, à l'instar d'une erreur d'estimation ou d'indices clairs qui auraient laissé apparaître une inexactitude dans les résultats de l'enquête (arrêt du Tribunal fédéral 9C_784/2013 du 5 mars 2014 consid. 3.3 et les références), il était arbitraire de la part de la juridiction cantonale de déterminer le taux d'exigibilité de l'aide de l'époux en s'écartant de celui qui avait été fixé dans le rapport d'enquête déterminant (arrêt du Tribunal fédéral 9C_505/2023 du 26 juin 2024 consid. 5.2).</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6.2</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références ; arrêt du Tribunal fédéral 9C_259/2018 du 25 juillet 2018 consid. 4.2).</w:t>
      </w:r>
    </w:p>
    <w:p>
      <w:r>
        <w:rPr>
          <w:b/>
        </w:rPr>
        <w:t>E. 7.1</w:t>
      </w:r>
    </w:p>
    <w:p>
      <w:r>
        <w:t>En l’espèce, la recourante conteste les conclusions de l’enquête à domicile. En particulier, elle allègue que son état de santé s’est aggravé et estime subir un empêchement de 80% au moins dans la tenue de son ménage. Par ailleurs, dès lors que sa fille aînée n’habite plus que ponctuellement avec elle et compte tenu du fait qu’elle est fragile psychiquement et physiquement, aucune aide ne pourrait être exigée de sa part. De son côté, l’OAI estime, d’une part, que les empêchements retenus correspondent aux déclarations de la recourante et, d’autre part, que la disponibilité de la fille aînée de celle-ci a été prise en considération dans l’appréciation de l’exigibilité de la famille, laquelle a été évaluée à 3h30 par semaine.</w:t>
      </w:r>
    </w:p>
    <w:p>
      <w:r>
        <w:rPr>
          <w:b/>
        </w:rPr>
        <w:t>E. 7.2</w:t>
      </w:r>
    </w:p>
    <w:p>
      <w:r>
        <w:t>À titre liminaire, la chambre de céans relève que les pièces médicales transmises par la recourante en annexe à ses différentes écritures ne permettent pas d’établir une aggravation de son état de santé non prise en considération dans l’enquête ménagère réalisée le 26 février 2024, puis, par voie de conséquence, dans la décision du 24 mai 2024. En effet, les effets sur le quotidien de sa bronchopneumopathie sévère de stade 4 et de sa dépression récurrente sévère ont été pris en considération lors de l’appréciation des empêchements. Par ailleurs, une éventuelle aggravation de l'état de santé postérieure à la décision ne relève pas de la présente procédure.</w:t>
      </w:r>
    </w:p>
    <w:p>
      <w:r>
        <w:rPr>
          <w:b/>
        </w:rPr>
        <w:t>E. 7.3</w:t>
      </w:r>
    </w:p>
    <w:p>
      <w:r>
        <w:t>Cela étant précisé, on peut constater, à titre liminaire, que le rapport d'enquête économique sur le ménage du 27 février 2024 a été rédigé par une personne qualifiée qui s'est rendue au domicile de la recourante. Il est motivé de manière plausible et adéquatement détaillé en ce qui concerne les diverses limitations déterminantes dans le ménage. Par conséquent, ce rapport répond à tout le moins aux exigences formelles définies par la jurisprudence s'agissant de la valeur probante d'un tel écrit.</w:t>
      </w:r>
    </w:p>
    <w:p>
      <w:r>
        <w:rPr>
          <w:b/>
        </w:rPr>
        <w:t>E. 7.4</w:t>
      </w:r>
    </w:p>
    <w:p>
      <w:r>
        <w:t>Sur le plan matériel, l’enquêtrice a tout d’abord considéré que pour une famille telle que celle de la recourante, le total d’heures nécessaires à la tenue du ménage, par semaine, est de 43,18h (soit 43h et 18 minutes ou 43,3h). Selon toute vraisemblance, l’enquêtrice s’est référée aux données statistiques ressortant du tableau T 03.06.02.13, intitulé « travail domestique et familial : Mères seules avec enfant(s) dans le ménage selon la situation professionnelle, l’âge du plus jeune des enfants et le nombre d’enfants », dont il ressort qu’une mère vivant seule, dont le plus jeune enfant est âgé entre 7 et 14 ans, consacrait, en 2020, 43,2 heures à la tenue de son ménage (soit 43 heures et 12 minutes). Cela étant précisé, l’enquêtrice a ensuite considéré que la recourante consacrait 28% de son temps à l’alimentation (soit 12,1h par semaine ; 28% de 43,3h), 15% à l’entretien de son appartement (soit 6,5h par semaine ; 15% de 43,3h), 10% aux achats et courses diverses (4,3h par semaine ; 10% de 43,3h), 11% aux lessives et à l’entretien des vêtements (soit 4,8h par semaine ; 11% de 43,3h), 31% aux soins aux enfants (soit 13,4 heures par semaine ; 31% de 43,3h) et 5% aux soins aux animaux domestiques, (soit 2,2h par semaine, 5% de 43,3h). Après avoir décrit la situation avant et après l’atteinte, l’enquêtrice est arrivée à la conclusion que la recourante ne pouvait plus exercer 29,5% des tâches ménagères, ce qui correspondait à 12 heures et 45 minutes (soit 29,5% de 43h18 min). Pour sa part, la recourante conteste ce pourcentage estimant que celui-ci doit s’élever à 80%. Concrètement, elle explique se faire livrer les courses, ne plus pouvoir descendre les poubelles, passer l’aspirateur et la serpillère ou encore faire des lessives, ne plus sortir de chez elle et ne plus faire d’activités avec ses enfants.</w:t>
      </w:r>
    </w:p>
    <w:p>
      <w:r>
        <w:rPr>
          <w:b/>
        </w:rPr>
        <w:t>E. 7.4.1</w:t>
      </w:r>
    </w:p>
    <w:p>
      <w:r>
        <w:t>En premier lieu, force est de constater que la recourante ne conteste pas l’appréciation de l’enquêtrice en ce qui concerne le poste « alimentation », dans lequel un empêchement de 25% pour la préparation des aliments et la cuisine et de 50% pour le rangement a été retenu, avant prise en considération de l’aide de la famille. Certes, dans son attestation du 22 août 2024, le docteur F______, spécialiste FMH en médecine interne générale, évoque la nécessité d’une aide à la cuisine, sans autre détail. Toutefois, en l’absence de critique concrète, la chambre de céans ne saurait s’écarter de l’appréciation de l’enquêtrice.</w:t>
      </w:r>
    </w:p>
    <w:p>
      <w:r>
        <w:rPr>
          <w:b/>
        </w:rPr>
        <w:t>E. 7.4.2</w:t>
      </w:r>
    </w:p>
    <w:p>
      <w:r>
        <w:t>Celle-ci a ensuite estimé que la recourante passait 15% de son temps à entretenir son appartement, ce qui correspondait à 6,5 heures par semaine, répartis comme suit : 30% (soit près de 1,95h par semaine) pour les travaux légers (ranger, aérer, épousseter, faire le lit, etc.), 50% (soit 3,25h par semaine) pour les travaux lourds (passer l’aspirateur, entretenir les sols, nettoyer les sanitaires, changer les draps de lit), 10% (ce qui correspond 0,65h par semaine) pour les travaux saisonniers ou périodiques (nettoyer les vitres, la cuisine en profondeur, etc.) et 10% (0,65h par semaine) pour éliminer les déchets, l’entretien des plantes d’intérieur et du balcon. Vu les critiques formulées dans ses écritures, seule l’appréciation des empêchements concernant les travaux lourds et les déchets/entretien des plantes est en réalité contestée par la recourante : -          S’agissant tout d’abord des travaux lourds, l’enquêtrice a retenu que la recourante n’arrivait désormais plus à passer l’aspirateur et la serpillère sur les sols, qu’elle ne nettoyait la salle de bains que de manière sommaire, qu’elle ne pouvait plus nettoyer la baignoire. Elle avait beaucoup de peine à changer la literie. L’enquêtrice a même précisé que lors de la visite à domicile, les difficultés de l’assurée à entretenir le logement avaient été constatées. Vu les limitations, l’enquêtrice a retenu, s’agissant des travaux lourds, un empêchement de 75%. En d’autres termes, l’enquêtrice a considéré qu’au lieu de consacrer 3,25h par semaine aux travaux lourds, la recourante ne pouvait effectuer que 0,80h soit 48 minutes par semaine. -          En ce qui concerne les déchets et l’entretien des plantes, l’enquêtrice a retenu que la recourante ne se rendait plus aux containers. Elle déposait ses poubelles devant sa porte et c’était son voisin qui les descendait. En revanche, elle pouvait s’occuper des plantes d’intérieur et du balcon. Eu égard aux limitations, l’enquêtrice a retenu un empêchement de 25%. En d’autres termes, elle a considéré que la recourante pouvait encore consacrer 29 minutes par semaine à l’entretien des plantes et du balcon. Force est de constater que les limitations évoquées par la recourante dans son acte de recours et ses compléments ont bien été prises en considération par l’enquêtrice lors de son appréciation des empêchements, de sorte que rien ne permet de s’en écarter.</w:t>
      </w:r>
    </w:p>
    <w:p>
      <w:r>
        <w:rPr>
          <w:b/>
        </w:rPr>
        <w:t>E. 7.4.3</w:t>
      </w:r>
    </w:p>
    <w:p>
      <w:r>
        <w:t>Les achats et courses diverses ont été estimés à 10%, ce qui correspond à 4,3h par semaine. Les achats constituent 90% du temps, soit 3,9h. Les 10% restants concernent la poste, la banque et les démarches officielles. À cet égard, l’enquêtrice a retenu que la recourante n’arrivait plus à se rendre dans les supermarchés ou les magasins. Elle limitait ses sorties aux activités indispensables, telles que les rendez-vous médicaux ou les achats de vêtements et chaussures pour sa fille cadette. Elle faisait ses achats alimentaires sur Smood (courses par internet de la Migros) et passait commande tous les deux jours avec livraison à domicile. Elle prenait ensuite le temps pour ranger ses courses en fractionnant son travail si nécessaire. L’enquêtrice a ainsi retenu un empêchement sans exigibilité de la famille de 25% en ce qui concerne les achats. Il n’y a aucune raison de s’écarter de cette appréciation, ce d’autant moins qu’il peut être exigé de la recourante qu’elle ait recours aux achats en ligne, avec livraison à domicile, comme la chambre de céans l’a déjà retenu dans son arrêt du 13 juin 2023 ( ATAS/429/2023 ).</w:t>
      </w:r>
    </w:p>
    <w:p>
      <w:r>
        <w:rPr>
          <w:b/>
        </w:rPr>
        <w:t>E. 7.4.4</w:t>
      </w:r>
    </w:p>
    <w:p>
      <w:r>
        <w:t>L’enquêtrice a également estimé que la recourante consacrait 11% de son temps à la lessive et à l’entretien des vêtements, ce qui correspond à 4,8h chaque semaine. Sur ces 4,8h, elle passait 2,4h pour la lessive à proprement parler (faire les lessives, trier le linge, le transporter, remplir la machine, la mettre en marche, sortir le linge, le mettre/sortir dans/du sèche-linge, le pendre et le ramasser) et 2,4h à repasser, plier et ranger le linge. En lien avec cet aspect de la tenue du ménage, l’enquêtrice a retenu que la recourante continuait à faire la lessive pour toute la famille mais qu’elle ne descendait plus à la buanderie, ce qu’elle faisait auparavant une fois par semaine pour laver et faire sécher les draps de lits ou les grands linges. Désormais, elle faisait toute sa lessive avec sa machine personnelle. Elle fractionnait son travail et lançait une machine tous les deux jours. Elle demandait à sa fille de porter la corbeille de linge et étendait ensuite celui-ci dans l’appartement. Les constatations de l’enquêtrice se recoupent avec les explications de la recourante, laquelle explique qu’elle ne peut plus descendre à la buanderie mais non qu’elle ne peut plus effectuer la moindre lessive. À nouveau, il n’y a pas lieu de s’écarter des empêchements retenus par l’enquêtrice.</w:t>
      </w:r>
    </w:p>
    <w:p>
      <w:r>
        <w:rPr>
          <w:b/>
        </w:rPr>
        <w:t>E. 7.4.5</w:t>
      </w:r>
    </w:p>
    <w:p>
      <w:r>
        <w:t>Cette dernière a ensuite considéré que la recourante consacrait 31% de son temps aux soins aux enfants et aux proches, ce qui correspond à 13,4h par semaine. À cet égard, elle a notamment retenu que la recourante accompagnait sa fille cadette à son cours de chant une fois par semaine ou pour les consultations médicales. Lorsqu’elle était trop fatiguée ou pas suffisamment bien sur le plan respiratoire, elle prenait un taxi. La recourante pouvait encore gérer les tâches éducatives et les activités à l’intérieur. En revanche, elle se sentait très limitée pour les loisirs et les activités extérieures qu’elle ne pouvait plus partager avec sa fille. Aussi, l’enquêtrice a-t-elle retenu un empêchement de 25%. De son côté, la recourante explique qu’elle ne peut plus faire d’activités de loisirs avec ses enfants ou partir en vacances avec eux. Certes, il existe des limitations pour les loisirs et les activités en extérieur sont exclues, comme cela a été justement retenu par l’enquêtrice. Cet aspect ne constitue toutefois pas l’essentiel des soins aux enfants, de sorte qu’un empêchement de 25% ne paraît pas choquant. Quant au fait de partir en vacances, il n’a pas à être pris en considération dans les soins apportés aux enfants. À noter dans ce contexte que c’est un empêchement de 7,8% et non de 7,7% qui doit être retenu. En effet, 25% de 31% équivaut à 7,75%, pourcentage devant être arrondi à 7,8%, soit à la décimale la plus proche.</w:t>
      </w:r>
    </w:p>
    <w:p>
      <w:r>
        <w:rPr>
          <w:b/>
        </w:rPr>
        <w:t>E. 7.4.6</w:t>
      </w:r>
    </w:p>
    <w:p>
      <w:r>
        <w:t>Enfin, l’enquêtrice a retenu que la recourante passait 5% de son temps à soigner ses animaux, ce qui correspondait à 2,2h par semaine. En particulier, l’enquêtrice a considéré que la recourante gérait elle-même les deux chats, leur donnant la nourriture et nettoyant sommairement leur litière chaque semaine, un nettoyage complet n’étant effectué que tous les 15 jours. Elle avait en revanche beaucoup de difficultés à s’occuper des lapins de sa fille et à changer la litière dans le clapier. Cela étant, malgré tout, l’enquêtrice n’a pas retenu d’empêchement, ce qui paraît fort surprenant au vu des constatations évoquées ci-dessus. Le rapport d’enquête doit donc être modifié sur ce point et un empêchement de 25% doit être retenu en ce qui concerne les soins aux animaux domestiques, l’empêchement relatif à ce poste en particulier s’élevant à 1,3% (25% de 5%).</w:t>
      </w:r>
    </w:p>
    <w:p>
      <w:r>
        <w:rPr>
          <w:b/>
        </w:rPr>
        <w:t>E. 7.4.7</w:t>
      </w:r>
    </w:p>
    <w:p>
      <w:r>
        <w:t>Sur le vu de ce qui précède, c’est un empêchement pondéré, avant prise en considération de l’aide exigible de la famille, de 30,9% – et non de 29,5% – qui doit être pris en considération.</w:t>
      </w:r>
    </w:p>
    <w:p>
      <w:r>
        <w:rPr>
          <w:b/>
        </w:rPr>
        <w:t>E. 7.5</w:t>
      </w:r>
    </w:p>
    <w:p>
      <w:r>
        <w:t>Dans le cas d’espèce, l’enquêtrice n’a retenu aucune exigibilité de la fille cadette de la recourante compte tenu de son jeune âge (9 ans lors de l’enquête). Elle a par ailleurs constaté que la fille aînée était en formation et que de ce fait, elle était absente de son domicile de 7h30 à 17h30. Elle prenait ses repas de midi sur son lieu de formation. L’enquêtrice a également retenu que la fille aînée vivait partiellement chez son copain, soit environ 50% du temps. Eu égard à ce qui précède, l’enquêtrice a retenu une exigibilité réduite de la fille aînée, exigibilité fixée à 3 heures et 30 minutes par semaine. La recourante considère qu’aucune aide ne peut être attendue de sa fille, qui est fragile psychologiquement et qui ne vit plus que 50% du temps avec elle. La chambre de céans ne saurait suivre la recourante sur ce point. En effet, d'une part, l'enquêtrice a pris en compte le fait que la fille aînée de la recourante vivait partiellement chez son copain. D'autre part, si cette dernière a certes produit plusieurs rapports médicaux dont il ressort que sa fille aînée était fragile, ces pièces sont datées de 2021 et 2023, alors que l’enquête économique sur le ménage a été effectuée en février 2024 et que la chambre de céans doit déterminer le bien-fondé de la décision portant sur le droit à la rente à compter du 1 er juin 2024. Or, aucun élément médical concernant cette période ne figure au dossier et, selon les propres explications de la recourante, l’état de santé de sa fille s’est amélioré. C’est donc à juste titre que l’enquêtrice a examiné l’exigibilité de l’aide de la fille aînée en se demandant comment une cellule familiale raisonnable se serait organisée. Or, il n’est pas disproportionné de considérer que la fille aînée de la recourante, alors âgée de 18 ans, pouvait assumer les tâches domestiques à hauteur de 3 heures et 30 minutes par semaine, réparties comme suit selon l’enquête ménagère : Empêchements Domaines Pondération Sans aide exigible de la famille Avec aide exigible de la famille Aide exigible de la famille Alimentation 28% soit 11,9h Préparer et cuire les aliments, faire des provisions 60% (ou 7,1h) 25% (ou 1,8h) 11% (ou 0,8h) 14% (ou 1h) Nettoyer la cuisine au quotidien 30% (ou 3,6h) 50% (ou 1,8h) 22% (0,8h) 28% (ou 1h) Entretien de l’appartement 15% soit 6,5h Travaux lourds (aspirateur, sols, nettoyer WC, changer draps de lit) 50% (ou 3,2h) 75% (ou 2,4h) 44% (ou 1,4h) 31% (ou 1h) Lessives et entretien des vêtements 11% soit 4,8h Repasser, plier et ranger le linge 50% (ou 2,4h) 25% 0,6h 4% (ou 0,1h) 21% (ou 0,5h) Il ressort de ce qui précède que l’enquêtrice a estimé que la fille aînée de la recourante pouvait, lorsqu’elle était présente chez sa mère, aider à faire la cuisine et à la nettoyer (2h par semaine), aider pour les travaux lourds (1h par semaine) et repasser, plier et ranger le linge (30 minutes par semaine). Cette estimation de l’exigibilité de l’aide de la famille n’apparaît pas insoutenable. Cela est d’autant moins le cas lorsque l’on sait que selon l'Enquête suisse sur la population active (ESPA) effectuée périodiquement par l'Office fédéral de la statistique, un adolescent de l'âge de la fille aînée de la recourante, consacre en moyenne 17,4 heures par semaine au travail domestique et familial (table T 03.06.00.01, population résidante permanente âgée de 15 ans et plus, pour l'année 2020, année la plus proche de celle de l’ouverture du droit à une éventuelle rente), soit près de 2,5h par jour. En outre, dans un cas similaire, la Cour de céans avait considéré qu’il pouvait être exigé de l’aînée d’une fratrie de deux, âgée de 16 ans, de contribuer aux travaux ménagers à raison de 10%, tandis qu’aucune aide n’était exigible de la cadette, alors âgée de 9 ans ( ATAS/924/2019 du 9 octobre 2019 consid. 13c), ce qui constitue un taux supérieur à celui retenu dans le cas d’espèce. C’est le lieu de rappeler que la jurisprudence ne pose pas de grandeur limite au‑delà de laquelle l'aide des membres de la famille ne serait plus exigible.</w:t>
      </w:r>
    </w:p>
    <w:p>
      <w:r>
        <w:rPr>
          <w:b/>
        </w:rPr>
        <w:t>E. 7.6</w:t>
      </w:r>
    </w:p>
    <w:p>
      <w:r>
        <w:t>Dès lors que l’obligation de réduire le dommage, exigible de sa fille aînée, de 3h30 correspond à 8,1%, les empêchements de la recourante, après obligation de réduire le dommage, s’élèvent à 22,8% (30,9% - 8,1%). Cela ne suffit toutefois pas pour modifier le degré d’invalidité, qui reste de 61% ([100% x 50%] + [22,8% x 50%] = 61,4 %, ramené au nombre entier le plus proche, qui est 61%).</w:t>
      </w:r>
    </w:p>
    <w:p>
      <w:r>
        <w:rPr>
          <w:b/>
        </w:rPr>
        <w:t>E. 8</w:t>
      </w:r>
    </w:p>
    <w:p>
      <w:r>
        <w:t>Au vu de ce qui précède, la décision de l'intimé est conforme au droit et le recours, mal fondé, doit être rejeté. La recourante, qui agit en personne et succombe, n’a pas droit à des dépens (art. 61 let. g LPGA a contrario ). Vu l'issue du litige, il y a lieu de condamner la recourante au paiement d'un émolument de CHF 200.- (art. 69 al. 1bis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