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A/2047/2023 vom 22. Oktober 2024</w:t>
      </w:r>
    </w:p>
    <w:p>
      <w:r>
        <w:t>GE Cour de justice, 2024-10-22, FR</w:t>
      </w:r>
    </w:p>
    <w:p>
      <w:r>
        <w:rPr>
          <w:b/>
        </w:rPr>
        <w:t xml:space="preserve">Quelle: </w:t>
      </w:r>
      <w:r>
        <w:t>https://mcp.opencaselaw.ch/entscheid/ge_gerichte_A_2047_2023</w:t>
      </w:r>
    </w:p>
    <w:p>
      <w:r>
        <w:t>FR: GE_GERICHTE A/2047/2023 du 22 octobre 2024</w:t>
      </w:r>
    </w:p>
    <w:p>
      <w:r>
        <w:t>IT: GE_GERICHTE A/2047/2023 del 22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 délai de recours est de trente jours (art. 56 LPGA; art. 62 al. 1 de la loi sur la procédure administrative du 12 septembre 1985 [LPA - E 5 10]). Interjeté dans la forme et le délai prévus par la loi, le recours est recevable.</w:t>
      </w:r>
    </w:p>
    <w:p>
      <w:r>
        <w:rPr>
          <w:b/>
        </w:rPr>
        <w:t>E. 2.1</w:t>
      </w:r>
    </w:p>
    <w:p>
      <w:r>
        <w:t>Le 1 er janvier 2022, les modifications de la LAI et de la LPGA du 19 juin 2020 sont entrées en vigueur (développement continu de l’AI ; RO 2021 705), ainsi que celles du règlement et de l’ordonnance correspondants.</w:t>
      </w:r>
    </w:p>
    <w:p>
      <w:r>
        <w:rPr>
          <w:b/>
        </w:rPr>
        <w:t>E. 2.2</w:t>
      </w:r>
    </w:p>
    <w:p>
      <w:r>
        <w:t>Les dispositions concernant les conditions d’entrée en matière sur les nouvelles demandes de prestations (cf. consid. 4 ci-dessous) n’ont toutefois pas été modifiées dans le cadre du développement de l’AI susmentionné, raison pour laquelle aucune question de droit intertemporel ne se pose à cet égard (cf. arrêt du Tribunal fédéral 8C_644/2022 du 8 février 2023 consid. 2.2.3 ; ATAS/654/2023 du 30 août 2023 consid. 4).</w:t>
      </w:r>
    </w:p>
    <w:p>
      <w:r>
        <w:rPr>
          <w:b/>
        </w:rPr>
        <w:t>E. 3</w:t>
      </w:r>
    </w:p>
    <w:p>
      <w:r>
        <w:t>Le litige porte sur le bien-fondé du refus de l’intimé d’entrer en matière sur la demande de révision déposée par le recourant le 31 mars 2023, motif pris qu’il n’a pas rendu plausible une modification de son état de santé susceptible d’influencer ses droits.</w:t>
      </w:r>
    </w:p>
    <w:p>
      <w:r>
        <w:rPr>
          <w:b/>
        </w:rPr>
        <w:t>E. 4.1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L’administration est fondée à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c’est-à-dire quand l’administration a refusé d’entrer en matière et que l’assuré a interjeté recours pour ce motif (ATF 109 V 108 consid. 2b ; arrêt du Tribunal fédéral 9C_789/2012 du 27 juillet 2013 consid. 2.2).</w:t>
      </w:r>
    </w:p>
    <w:p>
      <w:r>
        <w:rPr>
          <w:b/>
        </w:rPr>
        <w:t>E. 4.2</w:t>
      </w:r>
    </w:p>
    <w:p>
      <w:r>
        <w:t>Le principe inquisitoire, selon lequel les faits pertinents de la cause doivent être constatés d’office par l’autorité (cf. art. 43 al. 1 LPGA), ne s’applique pas à la procédure de l’art. 87 al. 3 RAI (ATF 130 V 64 consid. 5.2.5 et les références). La personne assurée a en effet le fardeau de la preuve en ce qui concerne l’existence d’un changement plausible des circonstances depuis le dernier refus de prestations entré en force (cf. arrêt du Tribunal fédéral 8C_619/2022 du 22 juin 2023 consid. 3.2 et les références). Eu égard au caractère atypique de cette procédure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(arrêt du Tribunal fédéral 8C_308/2015 du 8 octobre 2015 consid. 3.2).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(arrêts du Tribunal fédéral 8C_29/2023 du 7 juillet 2023 consid. 3 ; 8C_619/2022 du 22 juin 2023 consid. 5.1 ; 9C_552/2022 du 20 mars 2023 consid 4.2 ; Damien VALLAT, La nouvelle demande de prestations AI et les autres voies permettant la modification de décisions en force, RSAS 2003, p. 396 ch. 5.1 et les références). En revanche, une appréciation différente de la même situation médicale ne permet pas de rendre plausible une aggravation au sens de l’art. 87 al. 2 RAI (cf. arrêt du Tribunal fédéral 8C_619/2022 précité consid. 5.1).</w:t>
      </w:r>
    </w:p>
    <w:p>
      <w:r>
        <w:rPr>
          <w:b/>
        </w:rPr>
        <w:t>E. 4.3</w:t>
      </w:r>
    </w:p>
    <w:p>
      <w:r>
        <w:t>Sous l’angle temporel, la dernière décision entrée en force reposant sur un examen matériel du droit à la rente constitue le point de départ pour examiner si un assuré a rendu plausible une modification déterminante des faits influant sur le droit aux prestations (ATF 133 V 108 consid. 5.4 ; 130 V 71 consid. 3 ; cf. arrêt du Tribunal fédéral 8C_29/2023 précité consid. 3). Le juge doit examiner la situation d’après l’état de fait tel qu’il se présentait à l’administration au moment où celle-ci a statué, après avoir dûment laissé à l’assuré un délai pour compléter sa demande.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(arrêt du Tribunal fédéral 9C_629/2020 du 6 juillet 2021 consid. 4.3.1).</w:t>
      </w:r>
    </w:p>
    <w:p>
      <w:r>
        <w:rPr>
          <w:b/>
        </w:rPr>
        <w:t>E. 5</w:t>
      </w:r>
    </w:p>
    <w:p>
      <w:r>
        <w:t>En l’espèce, le droit pour le recourant à des prestations de l’intimé a été nié par décision du 15 décembre 2021 en particulier parce que le diagnostic psychiatrique n’était pas invalidant. Cette décision a été confirmée par la chambre de céans le 13 décembre 2022. Le recourant a formulé une nouvelle demande auprès de l’intimé le 31 mars 2023. Dans sa requête, il a fait part d’une péjoration de son état psychique en se fondant sur un rapport d’hospitalisation datant des 18 au 23 novembre 2022 pour mise à l’abri d’idée noires sur demande de sa médecin psychiatre, d’attestation de sa généraliste et de R______, ainsi que deux lettres, l’une de sa fille et l’autre d’un ami étant intervenus en raison d’une tentative de suicide. Force est de constater que les avis des médecin et psychologue traitantes ont déjà été exprimés à réitérées reprises au fil de la précédente instruction et n’ont pas été retenus comme probants face à l’expertise pluridisciplinaire sur laquelle sont fondés la décision de refus de l’intimé et l’arrêt rendu le 13 décembre 2022. Les avis exprimés par son médecin traitant et sa psychologue ne sont pas nouveaux - étant rappelé que la Dre C______ avait déjà émis un diagnostic de dépression gravissime en 2021 qui n’avait pas été retenu – et ne suffisent ainsi pas à établir une aggravation de l’état psychique du recourant. Quant à la lettre de sortie des HUG, il apparait que l’hospitalisation remonte à novembre 2022 et a été faite à la demande de l’assuré et de sa psychiatre dans une période où l’assuré avait senti le besoin d’être mis à l’abri d’idées noires, se sentant coupable du divorce de sa fille. Les médecins des HUG ont indiqué dans leur rapport qu’à la fin de cette courte hospitalisation, le recourant ne présentait pas d’idée suicidaire et qu’ils n’avaient pas changé le traitement habituel du patient. Selon les médecins des HUG, le recourant était d’humeur triste sans idée suicidaire. Les problèmes existants avaient été pris en charge durant le séjour. Le diagnostic demeurait les troubles diagnostics récurrents, ce qui n’était pas contesté dans le cadre de la précédente procédure par l’expert mandaté par l’AI notamment dont le rapport s’est vu reconnaitre une pleine valeur probante par la chambre de céans. L’on doit également constater que les médecins des HUG ont évoqué une piste de traitements alternatifs au recourant, qui s’est dit intéressé, de sorte qu’il faut admettre que le trouble demeure traitable. Sur la base de ces éléments, l’événement décrit par l’assuré et ses proches, ainsi que l’hospitalisation en milieu psychiatrique durant 6 jours, lié à un sentiment de culpabilité de l’assuré envers sa fille ne permet de considérer que l’assuré a rendu plausible une aggravation de son état de santé, la lettre de sortie des HUG démontrant le contraire. Aucun nouveau diagnostic psychiatrique justifiant une incapacité durable par rapport à l’état de fait retenu par la chambre de céans dans son arrêt du 13 décembre 2022 (en se fondant sur l’expertise pluridisciplinaire ayant pleine valeur probante) n’est établi, que cela soit sur la base de la lettre de sortie, d’attestations des proches du recourant en lien avec son état psychique ou l’existence d’une courte hospitalisation en novembre 2022.</w:t>
      </w:r>
    </w:p>
    <w:p>
      <w:r>
        <w:rPr>
          <w:b/>
        </w:rPr>
        <w:t>E. 5.1</w:t>
      </w:r>
    </w:p>
    <w:p>
      <w:r>
        <w:t>À l’appui de sa dernière écriture, le recourant a versé un nouveau questionnaire médical rempli par la Dre T______ le 2 juillet 2024.</w:t>
      </w:r>
    </w:p>
    <w:p>
      <w:r>
        <w:rPr>
          <w:b/>
        </w:rPr>
        <w:t>E. 5.2</w:t>
      </w:r>
    </w:p>
    <w:p>
      <w:r>
        <w:t>À cet égard, il faut rappeler que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Il ne sera donc pas tenu compte des rapports produits postérieurement à la décision litigieuse (ATF 130 V 64 consid. 5.2.5 ; 121 V 366 consid. 1b et les références ; arrêt du Tribunal fédéral 9C 959/2011 du 6 août 2012 consid. 4.3). En conséquence, la chambre de céans ne peut pas prendre en considération ce document, dès lors qu’il a été produit postérieurement au 16 mai 2023, date à laquelle l’intimé a statué, et porte sur un suivi débuté le 28 juin 2023, soit lui-même après la décision attaquée.</w:t>
      </w:r>
    </w:p>
    <w:p>
      <w:r>
        <w:rPr>
          <w:b/>
        </w:rPr>
        <w:t>E. 6</w:t>
      </w:r>
    </w:p>
    <w:p>
      <w:r>
        <w:t>Au vu de ce qui précède, le recours sera rejeté et le recourant sera condamné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