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A/2040/2013 vom 29. April 2014</w:t>
      </w:r>
    </w:p>
    <w:p>
      <w:r>
        <w:t>GE Cour de justice, 2014-04-29, FR</w:t>
      </w:r>
    </w:p>
    <w:p>
      <w:r>
        <w:rPr>
          <w:b/>
        </w:rPr>
        <w:t xml:space="preserve">Quelle: </w:t>
      </w:r>
      <w:r>
        <w:t>https://mcp.opencaselaw.ch/entscheid/ge_gerichte_A_2040_2013</w:t>
      </w:r>
    </w:p>
    <w:p>
      <w:r>
        <w:t>FR: GE_GERICHTE A/2040/2013 du 29 avril 2014</w:t>
      </w:r>
    </w:p>
    <w:p>
      <w:r>
        <w:t>IT: GE_GERICHTE A/2040/2013 del 29 aprile 2014</w:t>
      </w:r>
    </w:p>
    <w:p>
      <w:pPr>
        <w:pStyle w:val="Heading2"/>
      </w:pPr>
      <w:r>
        <w:t>Volltext</w:t>
      </w:r>
    </w:p>
    <w:p>
      <w:r>
        <w:t>Genève Cour de justice (Cour de droit public) Chambre des assurances sociales 29.04.2014 A/2040/2013</w:t>
      </w:r>
    </w:p>
    <w:p>
      <w:r>
        <w:t>A/2040/2013 ATAS/555/2014 du 29.04.2014 ( AI ) , REJETE En fait En droit RÉPUBLIQUE ET CANTON DE GENÈVE POUVOIR JUDICIAIRE A/2040/2013 ATAS/555/2014 COUR DE JUSTICE Chambre des assurances sociales Arrêt du 29 avril 2014 1 ère Chambre En la cause Madame A______, domiciliée à GENEVE, comparant avec élection de domicile en l'étude de Maître PRETOT Didier recourante contre Office de l’assurance-invalidité du canton de Genève, sis rue des Gares 12, GENEVE intimé EN FAIT 1.        Madame A______, née le ______1968, a été victime d'un accident de la circulation le 24 mai 2006 à la suite duquel elle a souffert de contusions cervicales et de douleurs de la colonne.![endif]&gt;![if&gt; 2.        Mandaté par le Bureau International de Règlement des Sinistres SA (BIRS), le Docteur B______, spécialiste FMH en chirurgie orthopédique, a établi un rapport d'expertise le 17 octobre 2007. Il a considéré, s'agissant des cervicalgies, que le statu quo sine avait été atteint à six mois de l'accident, et, s'agissant des lombalgies, que la causalité n'était que possible. Il a par ailleurs envisagé que des facteurs d'origine psychologique entrent en cause dans l'évolution, de sorte qu'il a préconisé un bilan psychiatrique afin d'évaluer cette possible composante.![endif]&gt;![if&gt; 3.        Par décision du 21 février 2008, confirmée sur opposition le 14 mai 2008, la caisse nationale suisse d’assurance en cas d’accidents (SUVA) a mis un terme au versement des prestations d'assurance au 28 février 2007. ![endif]&gt;![if&gt; 4.        Elle a déposé une demande auprès de l’office de l’assurance-invalidité du canton de Genève (ci-après l'OAI) le 16 mai 2008 visant à l'octroi de prestations. Son médecin traitant, le Docteur C______, spécialiste FMH en médecine interne, a confirmé le 11 juin 2008 qu'elle souffrait de cervicalgies invalidantes depuis un coup du lapin survenu en mai 2006.![endif]&gt;![if&gt; 5.        Dans son rapport du 13 juin 2008, le Dr C______ a estimé l'incapacité de travail de sa patiente à 100% en raison de l'accident. Il retient le diagnostic de cervicalgies invalidantes, ainsi que celui, toutefois sans répercussion sur la capacité de gain, d'un état dépressif réactionnel.![endif]&gt;![if&gt; Le 30 octobre 2008, il mentionne une aggravation de l'état dépressif. 6.        Par décision du 4 mars 2010, l’OAI a informé l’assuré que sa demande était rejetée.![endif]&gt;![if&gt; 7.        Par arrêt du 23 novembre 2010, la chambre de céans a admis le recours déposé par l’assurée contre ladite décision et renvoyé la cause à l’OAI pour instruction complémentaire, et plus précisément pour expertise psychiatrique, et nouvelle décision.![endif]&gt;![if&gt; 8.        Sur mandat de l’OAI, le Docteur D______, psychiatre, a réalisé une expertise de l’assurée le 5 août 2011. L’expert retient, à titre de diagnostic avec répercussion sur la capacité de travail, une personnalité émotionnellement labile type borderline, présent depuis la fin de l’enfance et, à titre de diagnostic sans répercussion sur la capacité de travail, un épisode dépressif moyen sans syndrome somatique, présent depuis octobre 2006. Il estime à 50 % la capacité résiduelle de travail depuis le 24 mai 2006, précisant que l’assurée est capable de s’adapter à son environnement professionnel pour autant que l’activité ait lieu à 50 %. Il considère que des mesures de réadaptation professionnelles sont envisageables si elles ne sont réalisées ni à plus de 50 %, ni dans le cadre d’un travail d’équipe intense.![endif]&gt;![if&gt; Sur un plan pratique cependant, la mise en place de telles mesures est liée à un risque d’échec élevé, l’assurée étant cependant persuadée d’être inapte à quelque activité que ce soit. Selon l’expert, le travail d’ouvrière constitue une activité adaptée à la pathologie mentale que présente l’assurée (absence d’interaction intense avec autrui ; activité répétitive). Au vu de la nature et de l’intensité des limitations fonctionnelles, soit sur le plan psychique et mental, labilité de l’humeur, conflictualité, quérulences, susceptibilité, tolérance réduite à la frustration, tolérance réduite à la pression psychique (stress, angoisse potentiellement déstructurante sous l’influence de stresseurs sociaux émotionnels) et sur le plan social, conflictualité, quérulences, susceptibilité, tolérance réduite à la frustration, il n’y a pas d’activité mieux adaptée actuellement. Enfin l’expert ne retient pas le diagnostic de syndrome douloureux somatoforme persistant. 9.        Dans une note du 31 août 2011, le médecin du SMR considère que l’expertise a valeur probante et convaincante et prend note d’une capacité de travail exigible de 50 % à partir du 24 mai 2006, dans toute activité correspondant aux capacités et au niveau d’instruction de l’assurée.![endif]&gt;![if&gt; 10.    Un questionnaire relatif au statut a été établi le 15 octobre 2012. Il en résulte que sans atteinte à la santé, l’assurée aurait exercé une activité lucrative au même taux d’occupation qu’auparavant dans un établissement médico-social, dans une crèche ou dans la mode, précisant qu’elle aurait repris un emploi depuis onze ans, soit depuis que son fils est scolarisé. Celui-ci est âgé de 15 ½ ans au moment du questionnaire.![endif]&gt;![if&gt; 11.    Une enquête économique sur le ménage a été réalisée le 2 octobre 2012. Il en ressort que l’assurée ne travaille plus depuis plusieurs années, qu’elle est bénéficiaire de l’Hospice général depuis janvier 2008, qu’elle est divorcée et vit avec son fils de 15 ½  ans. Ses deux filles aînées sont majeures et ont quitté le domicile familial. Elles sont toutes deux aidées par l’Hospice général. En février 2006, elle s’est inscrite une nouvelle fois au chômage. Elle explique qu’elle n’avait alors pas défini un taux d’activité mais qu’elle était prête à prendre tout ce qui se présentait entre 50 et 80 %, car elle avait aussi besoin de temps pour ses enfants. Elle dit avoir fait des recherches d’emploi dans le cadre du chômage, mais n’a aucun document ni attestation de ses recherches, car elle a tout jeté. Elle précise avoir perdu un revenu depuis que sa fille est partie de la maison puisqu’elle ne touche plus les allocations familiales et avoir été contrainte de faire appel à l’Hospice général en janvier 2008. Elle indique que son ex-mari ne lui a jamais versé de pension alimentaire pour les enfants. Son conseil a ajouté qu’une procédure était en cours contre celui-ci, lequel devrait une somme avoisinant les CHF 250'000.- à titre de pensions alimentaires impayées.![endif]&gt;![if&gt; L’enquêtrice a constaté que l’assurée pouvait encore assumer l’essentiel des tâches ménagères elle-même en faisant les choses à son rythme et en fractionnant son travail sur la semaine. Elle a retenu une exigibilité de la part du fils proche de 13 %, estimant qu’il peut participer aux petites tâches courantes sans que cela n'affecte sa scolarité ou l’évolution de son développement personnel. Au vu des déclarations de l’assurée et de son curriculum vitae, elle a considéré que sans atteinte à la santé, celle-ci travaillerait aujourd’hui à 80 %. Elle a fixé le taux d’empêchement à accomplir les tâches ménagères à 15,8 %. 12.    Il ressort d’une note établie le 25 février 2013 qu’il faut comprendre que l’appréciation du Dr D______ a été faite pour une activité à 100 %, au motif que l'expert, en page 14 de son rapport, précise qu’une activité de 4 h 15 par jour est exigible. ![endif]&gt;![if&gt; 13.    L'OAI a déterminé le degré d'invalidité de l'assurée. Il s'est fondé sur le fait qu'elle aurait travaillé à 80 % sans atteinte à la santé, que sa perte de gain, s’agissant de la partie active, serait alors de 37,5 %, et a ainsi obtenu, compte tenu d’un empêchement à accomplir les travaux habituels de 16 %, un degré d’invalidité total de 33 %.![endif]&gt;![if&gt; 14.    L’OAI a transmis à l’assurée un projet de décision le 25 mars 2013, aux termes duquel sa demande était rejetée, un degré d’invalidité de 33 % ne suffisant pas à ouvrir le droit à une rente d’invalidité. ![endif]&gt;![if&gt; 15.    L’assurée, représentée par Me Didier PRETOT, a contesté ce projet.![endif]&gt;![if&gt; Elle constate que ses médecins-traitants n’ont pas été consultés de manière appropriée, que l’attitude du Dr D______ s’est révélée très partiale et arbitraire et que lors de la visite pour l’enquête ménagère, il n’a jamais été question qu’elle aurait eu une activité au taux de 80 %. L’assurée persiste à dire qu’elle se trouve actuellement dans l’incapacité totale de travailler et qu'elle rencontre de graves difficultés à assumer les tâches ménagères les plus élémentaires. 16.    Par décision du 22 mai 2013, l’OAI, considérant que l’assurée n’avait apporté aucun élément médical nouveau susceptible de modifier ses précédentes conclusions, a confirmé son projet.![endif]&gt;![if&gt; 17.    L’assurée, par l’intermédiaire de son mandataire, a interjeté recours le 24 juin 2013 contre ladite décision. Elle conclut à ce qu’un droit à des prestations AI selon un taux à déterminer après instruction du cas lui soit octroyé. Elle produit à l’appui de son recours une attestation du Dr C______ datée du 18 juin 2013, aux termes de laquelle le médecin certifie que sa capacité de travail n’atteint pas les 50 %, compte tenu de son état psychologique et des différentes maladies qui en découlent, ainsi qu’une attestation du Dr E______ du même jour, selon laquelle elle souffre « d’épisodes dépressifs fréquents pouvant aller jusqu’à un risque suicidaire nécessitant des prises en charge de crises et empêchant la patiente de construire des relations satisfaisantes et d’envisager un emploi. Le trouble de la personnalité émotionnellement labile sous-jacent est trop important pour pouvoir imaginer une réinsertion future dans un emploi ordinaire. Il est en revanche envisageable que la patiente puisse travailler quelques heures par semaine dans un milieu protégé, cela pourrait d’ailleurs l’aider dans les liens sociaux et dans la valorisation de sa personne. »![endif]&gt;![if&gt; 18.    Invité à se déterminer et constatant que le Dr C______ indique que l’état de santé ne s’est pas amélioré, mais ne relève pas d’aggravation et que le Dr E______ souligne que la situation est restée inchangée depuis avril 2011, le médecin du SMR a persisté dans son précédent avis. ![endif]&gt;![if&gt; 19.    Dans sa réponse du 22 août 2013, l’OAI rappelle que la décision litigieuse se fonde sur une expertise psychiatrique qui doit se voir reconnaître valeur probante et sur une enquête économique sur le ménage, et conclut au rejet du recours.![endif]&gt;![if&gt; 20.    Dans ses écritures du 4 octobre 2013, l’assurée verse au dossier une nouvelle attestation du Dr E______, datée du 30 septembre 2013 et aux termes de laquelle "elle souffre d’un trouble psychique grave toujours inchangé depuis mon dernier rapport AI qui l’empêche de travailler actuellement. Quelques heures de travail en milieu protégé pourraient rapidement être envisagées, ainsi qu'un emploi (dans les années à venir), à condition d'une aide de réinsertion professionnelle, un emploi à 25 %.", ainsi qu’un certificat établi par le Dr F______, neurologue.![endif]&gt;![if&gt; 21.    Le médecin du SMR a pris connaissance des avis des Drs E______ et F______ et indiqué que ceux-ci n'apportaient pas d'éléments nouveaux. ![endif]&gt;![if&gt; 22.    L’OAI dans sa duplique du 4 novembre 2013, a également maintenu ses conclusions.![endif]&gt;![if&gt; 23.    Le 16 décembre 2013, l’assurée reproche à l’OAI de n’avoir pas interpellé le Dr E______ qui aurait pu le renseigner sur l’aggravation de son état de santé, de sorte que l’avis établi par le SMR daté du 28 octobre 2013 ne se base pas sur des données médicales actuelles. Elle joint encore à ses écritures une nouvelle attestation du Dr E______, datée du 10 décembre 2013, certifiant que l’assurée présente un trouble dépressif récurrent avec une péjoration dépressive au cours des dernières semaines ayant nécessité une hospitalisation à l’hôpital de Montana.![endif]&gt;![if&gt; Elle rappelle que le Dr E______ a évalué son éventuelle capacité de travail à 25 % au maximum, relève que le taux d’emploi à 80 % pris en considération par l’OAI se réfère au mois de février 2006 lorsqu’elle s’était réinscrite au chômage et non pas à sa situation actuelle, souligne enfin que l’enquêtrice a pris en considération l’aide que pouvait apporter son fils, alors que celui-ci a été mis sous curatelle et placé en foyer depuis plusieurs mois, étant elle-même dans l’impossibilité de s’en occuper. 24.    Le 13 janvier 2014, l’OAI constate que l’assurée n’apporte pas d’éléments médicaux nouveaux permettant de modifier son appréciation du cas. Il relève toutefois qu’il serait souhaitable d’avoir une copie du rapport d’évaluation faite par Madame G______, ainsi qu’une copie des tests sanguins dont fait état le Dr F______.![endif]&gt;![if&gt; 25.    L’assurée a produit les documents demandés le 5 février 2014. Elle répète que l’avis établi par le SMR le 9 janvier 2014 ne se base pas sur des données médicales actuelles, puisqu’il ignore totalement le fait que son état s’est encore empiré dans les derniers temps et qu’elle a dû être hospitalisée d’urgence.![endif]&gt;![if&gt; 26.    Le 4 mars 2014, l’OAI a maintenu ses précédentes conclusions, estimant que l’hospitalisation de la recourante est a priori réactionnelle et non durable, mais surtout postérieure à la décision litigieuse (7 mois après), de sorte qu’une éventuelle aggravation de l’état de santé ne serait quoi qu’il en soit pas relevante dans le cadre du présent recours.![endif]&gt;![if&gt; 27.    Ce courrier a été transmis à l’assurée et la cause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2.        Sa compétence pour juger du cas d’espèce est ainsi établie.![endif]&gt;![if&gt; 3.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30 jours (art. 60 al. 1 LPGA). Interjeté dans la forme et le délai prévus par la loi, le recours est recevable, en vertu des art. 56ss LPGA.![endif]&gt;![if&gt; 5.        Le litige porte sur le droit de l'assurée à des prestations AI.![endif]&gt;![if&gt;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12.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13.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14.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![endif]&gt;![if&gt; 16.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cité).![endif]&gt;![if&gt; 17.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5.4.4).![endif]&gt;![if&gt; 18.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3.2).![endif]&gt;![if&gt; 19.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20.    En l'espèce, l’OAI a retenu que l’assurée aurait, en bonne santé, exercé une activité lucrative à 80% et a dès lors déterminé son degré d'invalidité d'après la méthode mixte.![endif]&gt;![if&gt; L’assurée semble contester ce statut, dans la mesure où elle nie avoir déclaré à l’enquêtrice lors de sa visite au domicile qu’elle aurait travaillé à 80%, puis relève que ce taux d’emploi se réfère en réalité au mois de février 2006 lorsqu’elle s’était inscrite au chômage et non pas à sa situation actuelle. Sa fille a à présent quitté la maison et son fils est "indépendant et quasiment majeur". La chambre de céans relève que l'assurée a expliqué à l’enquêtrice qu’elle n’avait effectivement pas défini un taux d’activité au moment de son inscription au chômage, soit en février 2006, mais « qu’elle était prête à prendre tout ce qui se présentait, entre 50 et 80%, car elle avait aussi besoin de temps pour ses enfants ». Or, la chambre de céans constate qu'en 2006, la plus jeune des deux filles était âgée de 12 ans et le fils de 9 ans. Rien ne l'empêchait alors déjà de travailler à plein temps si elle l'avait souhaité. L'OAI a de plus retenu le taux le plus élevé de la fourchette indiquée par l'assurée. Il y a enfin lieu de rappeler qu’il s’agit de se placer au moment de l’ouverture du droit à la rente, soit à l’échéance d’une période de six mois à compter de la date à laquelle l’assuré a fait valoir son droit aux prestations conformément à l’art. 29 al. 1 LPGA, soit dès décembre 2008. Il convient dès lors d’admettre que l’assurée, en bonne santé, aurait travaillé à temps partiel, soit à 80%, et aurait consacré la part restante, de 20%, aux tâches ménagères. C'est dès lors à bon droit que l'OAI a fait application de la méthode mixte pour évaluer son invalidité. 21.    Il s’agit à ce stade de déterminer quelle est la capacité de travail de l’assurée. ![endif]&gt;![if&gt; 22.    L’OAI s’est fondé sur le rapport d’expertise du Dr D______ pour retenir une incapacité de travailler de 50% depuis mai 2006. L’assurée conteste les conclusions du Dr D______, considérant que celui-ci avait été partial et arbitraire. Elle produit plusieurs documents établis par ses médecins-traitants, notamment une attestation du Dr C______ du 18 juin 2013, selon laquelle sa capacité de travail n’atteint pas 50% et une attestation du Dr E______ du 30 septembre 2013, fixant le taux de capacité de travail à 25% au maximum. ![endif]&gt;![if&gt; 23.    La chambre de céans constate que l’expertise du Dr D______ est en tous points conformes aux réquisits jurisprudentiels relatifs à la valeur probante. Elle se fonde en effet sur un examen clinique de l’assurée, sur l’étude de son dossier médical, relate ses plaintes, contient une anamnèse complète, des diagnostics clairs et des conclusions motivées.![endif]&gt;![if&gt; Les avis des médecins-traitants ne font état d’aucun élément qui aurait été ignoré par l’expert et qui serait suffisamment déterminant pour remettre en cause ses conclusions. Seul diffère en effet le taux de capacité de travail retenu. Il y a dès lors lieu de considérer que l’assurée dispose d’une capacité de travail de 50% depuis le 24 mai 2006. 24.    Il résulte de l’enquête ménagère réalisée le 2 octobre 2012 que l'assurée présente un taux d’empêchement à accomplir les travaux ménagers de 16%. ![endif]&gt;![if&gt; L’enquêtrice a tenu compte de l’aide que pouvait apporter le fils à hauteur de 13%. L’assurée relève toutefois, dans ses écritures du 16 décembre 2013, que celui-ci a été placé en foyer depuis plusieurs mois, parce qu'elle ne pouvait elle-même s’en occuper. L’aide du fils a été prise en considération dans l’enquête ménagère à hauteur de 20% s’agissant du poste alimentation, de l’entretien du logement et des emplettes et courses diverses et à 10% pour la lessive et l’entretien des vêtements. La plus jeune des filles a quitté le domicile de sa mère en août 2012. L’enquêtrice relève à cet égard que « les troubles psychiques que présentent l’assurée ont un impact direct sur sa relation aux autres et donc dans ses relations quotidiennes avec ses enfants. Les empêchements dans le poste « soins aux enfants » me semblent importants en lien avec les limitations fonctionnelles retenues par le SMR ». Un taux d’empêchement à accomplir les « soins aux enfants » a été estimé à 6%. L’assurée a expliqué que tout se passait bien avec son fils de 15 ans et demi. L’enquêtrice a précisé qu’ « elle poursuit son rôle éducatif, supervise les devoirs, se montre présente dès son retour de l’école et prend du temps pour discuter avec lui quotidiennement (…) il est autonome pour les gestes quotidiens et dans ses déplacements à l’école, pour les activités extra-scolaires et pour se rendre chez son médecin ». La pondération de ce champ d’activité a été estimée à 10% et l’empêchement à 60%. On ignore à partir de quand le fils a été placé. En octobre 2012, lors de l’enquête ménagère, il vivait encore chez sa mère. Il y a vraisemblablement vécu jusqu’en octobre 2013 en tout cas, le mandataire de l’assurée ayant informé la chambre de céans qu’il était sous curatelle, le 4 octobre 2013 et qu’il était placé depuis plusieurs mois, le 16 décembre 2013. Le fait qu’il ne puisse plus aider sa mère dans les tâches ménagères constitue dans ces conditions un fait nouveau, la décision litigieuse ayant été rendue le 22 mai 2013. Or,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La modification de la situation eu égard au départ du fils de la maison ne pourrait dès lors être examinée que dans le cadre d’une nouvelle instruction et devrait faire l’objet d’une nouvelle décision. La chambre de céans relève quoi qu'il en soit que, même si l’on ne tenait plus compte de l’aide apportée par le fils, l’augmentation du taux d’empêchement à accomplir les tâches ménagères y relative ne suffirait pas à modifier le degré d’invalidité de l’assurée au point qu’un droit à un quart de rente puisse lui être reconnu. En effet, l’empêchement s’agissant de l’alimentation serait de 6%, de l’entretien, de 6%, des emplettes de 1,4%, et de la lessive, de 3,6%. Ces pourcentages, ajoutés aux 6% retenus pour les soins aux enfants et les divers donneraient un total de 29%, restant inférieur aux 40% donnant droit au quart de rente. 25.    L’assurée enfin a produit de nouvelles pièces médicales à l’appui de son recours, alléguant une aggravation de son état de santé.![endif]&gt;![if&gt; Force est à cet égard de rappeler que les faits survenus postérieurement doivent faire l’objet d’une nouvelle décision et ne peuvent, partant, être pris en considération dans le cadre de la présente procédure. 26.    Le taux d’invalidité doit dès lors tenir compte d’un taux d’invalidité de 38% s’agissant de la part professionnelle et d’un taux d’empêchement à accomplir les tâches ménagères de 16% et se présente comme suit : ![endif]&gt;![if&gt; Activités lucratives Tâches ménagères Taux d’invalidité Quote-part 80% 20% Limitation handicap 38% 16% Degré invalidité 30% 3% 33% Force est constater que ce taux de 33% est insuffisant pour justifier l’octroi d’une rente d’invalidité (art. 28 al. 2 LAI). Aussi le recours ne peut-il être que rejeté. 27.    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03).![endif]&gt;![if&gt; PAR CES MOTIFS, LA CHAMBRE DES ASSURANCES SOCIALES : Statuant A la forme : 1.        Déclare le recours recevable.![endif]&gt;![if&gt; Au fond : 2.        Le rejette.![endif]&gt;![if&gt; 3.        Renonce à percevoir un 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