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A/2039/2004 vom 13. Dezember 2005</w:t>
      </w:r>
    </w:p>
    <w:p>
      <w:r>
        <w:t>GE Cour de justice, 2005-12-13, FR</w:t>
      </w:r>
    </w:p>
    <w:p>
      <w:r>
        <w:rPr>
          <w:b/>
        </w:rPr>
        <w:t xml:space="preserve">Quelle: </w:t>
      </w:r>
      <w:r>
        <w:t>https://mcp.opencaselaw.ch/entscheid/ge_gerichte_A_2039_2004</w:t>
      </w:r>
    </w:p>
    <w:p>
      <w:r>
        <w:t>FR: GE_GERICHTE A/2039/2004 du 13 décembre 2005</w:t>
      </w:r>
    </w:p>
    <w:p>
      <w:r>
        <w:t>IT: GE_GERICHTE A/2039/2004 del 13 dicembre 2005</w:t>
      </w:r>
    </w:p>
    <w:p>
      <w:pPr>
        <w:pStyle w:val="Heading2"/>
      </w:pPr>
      <w:r>
        <w:t>Erwägungen</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w:t>
      </w:r>
    </w:p>
    <w:p>
      <w:r>
        <w:rPr>
          <w:b/>
        </w:rPr>
        <w:t>E. 3</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Dans la mesure où l'incapacité de travail de la recourante a débuté en octobre 1999, ces principes de droit intertemporel commandent l'examen du bien-fondé de la décision sur opposition du 22 juillet 2003 à la lumière des anciennes dispositions de la LAI pour la période s'étendant jusqu'au 31 décembre 2002 et, le cas échéant, au regard des nouvelles dispositions de la LPGA pour la période postérieure (voir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Tribunal de céans constate que le recours, interjeté dans les forme et délai légaux, est recevable, conformément à l’art. 56 et 60 LPGA.</w:t>
      </w:r>
    </w:p>
    <w:p>
      <w:r>
        <w:rPr>
          <w:b/>
        </w:rPr>
        <w:t>E. 5</w:t>
      </w:r>
    </w:p>
    <w:p>
      <w:r>
        <w:t>L’autorité administrative doit constater d’office les faits déterminants, c’est-à-dire toutes les circonstances dont dépend l’application des règles de droit (ATF 117 V 261 consid. 3 p. 263 ; T. LOCHER Grundriss des Sozialversicherungsrecht, Bern 1994, t.1, p. 438).</w:t>
      </w:r>
    </w:p>
    <w:p>
      <w:r>
        <w:rPr>
          <w:b/>
        </w:rPr>
        <w:t>E. 6</w:t>
      </w:r>
    </w:p>
    <w:p>
      <w:r>
        <w:t>L’administration est ainsi tenue d’ordonner une instruction complémentaire lorsque les allégations des parties et les éléments ressortant du dossier requièrent une telle mesure, et elle doit en particulier mettre en œuvre une expertise lorsqu’il paraît nécessaire de clarifier des aspects médicaux (ATF 117 V 282 consid. 4a, p. 283 ; RAMA 1985 p. 240 consid.4 ; LOCHER loc. cit.).</w:t>
      </w:r>
    </w:p>
    <w:p>
      <w:r>
        <w:rPr>
          <w:b/>
        </w:rPr>
        <w:t>E. 7</w:t>
      </w:r>
    </w:p>
    <w:p>
      <w:r>
        <w:t>De son côté, le juge qui considère que les faits ne sont pas suffisamment élucidés peut renvoyer la cause à l’administration pour complément d’instruction ou procéder lui-même à une telle instruction complémentaire (RAMA 1993 p. 136). Il convient en l'espèce d’ordonner une expertise cardiologique, laquelle sera confiée au Dr R__________, médecin spécialiste en cardiologie. En application de l’art. 39 de la loi sur la procédure administrative (LPA), un délai de 10 jours sera accordé aux parties pour éventuelle récusation de l’expert, ensuite de quoi la présente ordonnance lui sera communiquée.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