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A/2038/2009 vom 3. September 2009</w:t>
      </w:r>
    </w:p>
    <w:p>
      <w:r>
        <w:t>GE Cour de justice, 2009-09-03, FR</w:t>
      </w:r>
    </w:p>
    <w:p>
      <w:r>
        <w:rPr>
          <w:b/>
        </w:rPr>
        <w:t xml:space="preserve">Quelle: </w:t>
      </w:r>
      <w:r>
        <w:t>https://mcp.opencaselaw.ch/entscheid/ge_gerichte_A_2038_2009</w:t>
      </w:r>
    </w:p>
    <w:p>
      <w:r>
        <w:t>FR: GE_GERICHTE A/2038/2009 du 3 septembre 2009</w:t>
      </w:r>
    </w:p>
    <w:p>
      <w:r>
        <w:t>IT: GE_GERICHTE A/2038/2009 del 3 settembre 2009</w:t>
      </w:r>
    </w:p>
    <w:p>
      <w:pPr>
        <w:pStyle w:val="Heading2"/>
      </w:pPr>
      <w:r>
        <w:t>Regeste</w:t>
      </w:r>
    </w:p>
    <w:p>
      <w:r>
        <w:t>Retard injustifié. Concordat par abandon d'actifs. | Les liquidateurs d'un concordat sont soumis à la surveillance de la commission des céanciers à qui doit être transmise en premier lieu une telle plainte. Plainte irrecevable. | LP.320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Transmet la présente plainte et le dossier à la Commission des créanciers pour décision. Siégeant : M. Philippe GUNTZ, président ; Mme Valérie CARERA et M. Philipp GANZONI, juges assesseur(e)s. Au nom de la Commission de surveillance : Paulette DORMAN Philippe GUNTZ Greffière : Président 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