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A/2036/2020 vom 12. Mai 2022</w:t>
      </w:r>
    </w:p>
    <w:p>
      <w:r>
        <w:t>GE Cour de justice, 2022-05-12, FR</w:t>
      </w:r>
    </w:p>
    <w:p>
      <w:r>
        <w:rPr>
          <w:b/>
        </w:rPr>
        <w:t xml:space="preserve">Quelle: </w:t>
      </w:r>
      <w:r>
        <w:t>https://mcp.opencaselaw.ch/entscheid/ge_gerichte_A_2036_2020</w:t>
      </w:r>
    </w:p>
    <w:p>
      <w:r>
        <w:t>FR: GE_GERICHTE A/2036/2020 du 12 mai 2022</w:t>
      </w:r>
    </w:p>
    <w:p>
      <w:r>
        <w:t>IT: GE_GERICHTE A/2036/2020 del 12 maggio 2022</w:t>
      </w:r>
    </w:p>
    <w:p>
      <w:pPr>
        <w:pStyle w:val="Heading2"/>
      </w:pPr>
      <w:r>
        <w:t>Erwägungen</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w:t>
      </w:r>
    </w:p>
    <w:p>
      <w:r>
        <w:rPr>
          <w:b/>
        </w:rPr>
        <w:t>E. 4</w:t>
      </w:r>
    </w:p>
    <w:p>
      <w:r>
        <w:t>La demande, qui comporte notamment un exposé des faits et des conclusions, respecte les conditions de forme légales (art. 130 et 244 CPC). Il convient toutefois d'examiner la recevabilité de la première conclusion du demandeur, laquelle est de nature constatatoire. ![endif]&gt;![if&gt; Selon l'art. 88 CPC, le demandeur intente une action en constatation de droit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(cf. art. 59 al. 2 let. a CPC ; sur les conditions de cette action, cf. ATF 141 III 68 consid. 2.3 ; ATF 136 III 523 consid. 5 ; ATF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Il appartient au demandeur d'établir qu'il dispose d'un intérêt digne de protection à la constatation (cf. arrêt du Tribunal fédéral 4A_688/2016 du 5 avril 2017 consid. 3.3). Le but de la demande en constatation de droit est de clarifier une situation juridique lorsque les parties sont en désaccord. Elle a généralement pour objet de faire constater l'existence ou l'inexistence, actuelle et prétendue, d'un rapport de droit (François BOHNET, in Commentaire romand, 2019, n° 13 ad art. 88 CPC). Un intérêt au constat peut exister lorsqu'une action condamnatoire est possible pour une prestation, mais qu'il s'agit de lever les incertitudes sur l'existence d'un rapport de droit dont elle est issue (arrêts du Tribunal fédéral 4A_719/2016 du 31 août 2017 consid. 1.2.3 ; 5C.7/2004 du 22 avril 2004 consid. 1 ; 5C.151/2002 du 30 septembre 2002 consid. 1.2 ; BOHNET, op. cit., n° 15 ad art. 88 CPC). En matière d’assurances complémentaires, le Tribunal fédéral a ainsi confirmé l’existence d’un intérêt digne de protection à voir des conclusions constatatoires tranchées portant sur l’obligation de prester de l’assurance (arrêt du Tribunal fédéral 5C.151/2002 du 30 septembre 2002 consid. 1.2). En l'espèce, le contrat d'assurance complémentaire a été résilié avec effet au 30 novembre 2019, en raison d'une réticence qui se rapporte au fait de ne pas avoir annoncé la présence d’une hernie ombilicale. Dans ses écritures, l’assuré demande notamment à la chambre de céans de constater qu’il n’a pas commis de réticence et « d’annuler » la résiliation du contrat, ce qui revient en d’autres termes à demander à la juridiction de céans de constater le maintien du contrat d’assurance complémentaire dans ses termes initiaux (c’est-à-dire sans réserve portant sur le diagnostic d’hernie ombilicale). Conformément à la jurisprudence précitée, le demandeur a un intérêt à faire constater la validité de la police d’assurance complémentaire, laquelle peut fonder une obligation de prester de la défenderesse. L’action en constatation de droit est partant recevable.</w:t>
      </w:r>
    </w:p>
    <w:p>
      <w:r>
        <w:rPr>
          <w:b/>
        </w:rPr>
        <w:t>E. 5</w:t>
      </w:r>
    </w:p>
    <w:p>
      <w:r>
        <w:t>Le litige porte sur la question de savoir si la défenderesse a valablement résilié, pour cause de réticence, le contrat d’assurance liant les parties et si elle était fondée, le cas échéant, à refuser de prendre en charge les frais de séjour hospitalier liés à l’intervention du 16 mars 2020.![endif]&gt;![if&gt;</w:t>
      </w:r>
    </w:p>
    <w:p>
      <w:r>
        <w:rPr>
          <w:b/>
        </w:rPr>
        <w:t>E. 6</w:t>
      </w:r>
    </w:p>
    <w:p>
      <w:r>
        <w:t>La réticence se définit comme l'omission de déclarer ou le fait de déclarer inexactement, lors de la conclusion du contrat, un fait important que celui ayant l'obligation de déclarer connaissait ou devait connaître (art. 6 al. 1 LCA). La notion renvoie aux déclarations obligatoires au sens de l'art. 4 LCA. Selon l'al. 1 de cette disposition,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par l'assureur doit être rédigée de manière précise et non équivoque (art. 4 al. 3 LCA ; ATF 136 III 334 consid. 2.3, p. 336; ATF 134 III 511 consid. 3.3.4, p. 515). Le proposant doit répondre de manière véridique aux questions telles qu'il peut les comprendre de bonne foi ; il n'y a pas de réponse inexacte si la question est ambiguë, de telle sorte que la réponse donnée apparaît véridique selon la manière dont la question pouvait être comprise de bonne foi par le proposant (ATF 136 III 334 consid. 2.3, p. 336 ss.). ![endif]&gt;![if&gt;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p. 337).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Il est fondé à attribuer aux termes techniques employés dans ces questions, dont il ne connaît pas le sens et qui ne lui sont pas expliqués, le sens qu'il leur est en général prêté dans le milieu où il vit, en particulier le sens que le langage usuel attribue à ces termes (ATF 136 III 334 consid. 2.3 ; ATF 134 III 511 consid. 3.3.3). Il faut en plus que la réponse inexacte porte sur un fait important pour l'appréciation du risque (art. 4 al. 1 et art. 6 al. 1 LCA). Sont importants tous les faits de nature à influer sur la détermination de l'assureur de conclure le contrat ou de le conclure aux conditions convenues (art. 4 al. 2 LCA). L'art. 4 al. 3 LCA présume que le fait est important s'il a fait l'objet d'une question écrite de l'assureur, précise et non équivoque. Il s'agit toutefois d'une présomption susceptible d'être renversée. S'il n'appartient pas au proposant de déterminer - à la place de l'assureur - quels sont les éléments pertinents pour apprécier le risque, il n'en demeure pas moins que la présomption sera renversée si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136 III 334 consid. 2.4, p. 337 ss et les arrêts cités ; ATF 134 III 511 consid. 3.3.4, p. 515 ; ATF 109 V 36 consid. 1b). En cas de réticence, l'assureur est en droit de résilier le contrat (art. 6 al. 1 LCA) ; s'il exerce ce droit, il est autorisé à refuser également sa prestation pour les sinistres déjà survenus, si le fait qui a été l'objet de la réticence a influé sur leur survenance ou leur étendue (art. 6 al. 3 LCA). L'existence d'un lien de causalité entre le fait passé sous silence ou inexactement déclaré et le sinistre déjà survenu influe uniquement sur l'obligation de l'assureur d'accorder sa prestation à la suite d'une réticence, mais pas sur la validité de la résiliation du contrat en tant que tel, réglée à l'art. 6 al. 1 LCA (ATF 138 III 416 consid. 6). Le droit de résiliation s'éteint quatre semaines après que l'assureur a eu connaissance de la réticence (art. 6 al. 2 LCA).</w:t>
      </w:r>
    </w:p>
    <w:p>
      <w:r>
        <w:rPr>
          <w:b/>
        </w:rPr>
        <w:t>E. 7</w:t>
      </w:r>
    </w:p>
    <w:p>
      <w:r>
        <w:t>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w:t>
      </w:r>
    </w:p>
    <w:p>
      <w:r>
        <w:rPr>
          <w:b/>
        </w:rPr>
        <w:t>E. 8</w:t>
      </w:r>
    </w:p>
    <w:p>
      <w:r>
        <w:t>En l’espèce, la défenderesse a résilié le contrat d’assurance avec effet au 30 novembre 2019, au motif que le demandeur avait répondu par la négative aux questions n°5b et 8 du questionnaire de santé, alors qu’en juillet 2018 – quatre mois avant la signature du questionnaire – il avait consulté un spécialiste qui lui avait diagnostiqué une hernie ombilicale. Or, c’est cette même affection qui a finalement justifié son hospitalisation à la Clinique Générale-Beaulieu, en vue d’y subir une intervention chirurgicale.![endif]&gt;![if&gt; De son côté, le demandeur rétorque qu’il ne s’est pas vu prescrire le moindre traitement par le Dr B______, de sorte qu’il a rempli le questionnaire de manière conforme à la vérité en répondant par la négative à la question 5 (concernant le suivi d’un traitement médical dans les cinq dernières années). Le demandeur estime n’avoir pas violé non plus son devoir de renseignement en répondant par la négative à la question 8 (relative à d’éventuels « problèmes liés à [l’] état de santé [n’ayant] pas encore fait l’objet d’un traitement »). En effet, il a rempli le questionnaire de santé en suivant la recommandation de son médecin, lequel lui avait conseillé de ne pas tenir compte de sa hernie, puisqu’elle ne suscitait alors pas d’inquiétude. Il pouvait donc partir du principe que sa condition était sans importance pour l’évaluation du risque, et c’est en toute bonne foi qu’il n’a pas signalé cette affection, qui n’était « pas un problème » au moment de contracter.</w:t>
      </w:r>
    </w:p>
    <w:p>
      <w:r>
        <w:rPr>
          <w:b/>
        </w:rPr>
        <w:t>E. 9</w:t>
      </w:r>
    </w:p>
    <w:p>
      <w:r>
        <w:t>![endif]&gt;![if&gt;</w:t>
      </w:r>
    </w:p>
    <w:p>
      <w:r>
        <w:rPr>
          <w:b/>
        </w:rPr>
        <w:t>E. 9.1</w:t>
      </w:r>
    </w:p>
    <w:p>
      <w:r>
        <w:t>Il est constant que la défenderesse a résilié le contrat le 3 décembre 2019, soit au lendemain de la réception du questionnaire rempli par le Dr B______. Elle a donc respecté le délai de quatre semaines à compter de la découverte du motif de réticence, ce qui n’est pas contesté. En revanche, les parties s’opposent sur le point de savoir si le demandeur a enfreint son obligation de renseigner en répondant par la négative aux questions 5b et 8 du questionnaire de santé. ![endif]&gt;![if&gt; Ces questions sont libellées comme suit : Question 5b : « Etes-vous actuellement ou avez-vous été en traitement au cours des cinq dernières années auprès d’un médecin ? » ; Question 8 : « Présentez-vous des séquelles de maladie [ ] ou avez-vous connaissance de problèmes liés à votre état de santé (par ex. maladie congénitale) qui n’ont pas encore fait l’objet de traitement ? ».</w:t>
      </w:r>
    </w:p>
    <w:p>
      <w:r>
        <w:rPr>
          <w:b/>
        </w:rPr>
        <w:t>E. 9.2</w:t>
      </w:r>
    </w:p>
    <w:p>
      <w:r>
        <w:t>Il ressort du dossier qu’avant de signer la proposition d’assurance complémentaire, l’assuré a consulté le Dr B______ en juillet 2018, après avoir constaté un changement de la forme de son nombril. L'examen clinique a mis en évidence une hernie ombilicale, pour laquelle le Dr B______ n’a pas retenu d’indication opératoire dans l’immédiat. Entendu en audience, ce praticien a exposé qu’en juillet 2018, il avait rassuré l’assuré et lui avait indiqué qu’aucun traitement n'était à envisager, tout en précisant cependant que la hernie ombilicale pouvait devenir symptomatique à l’avenir et qu'un traitement pourrait alors entrer en considération. ![endif]&gt;![if&gt; La Cour de céans constate ainsi qu’au moment de la signature de la proposition d’assurance, le recourant n’avait effectivement pas déjà fait l’objet d’un traitement médical en lien avec le diagnostic de hernie ombilicale. En particulier, il n'apparaît pas qu'un traitement impliquant des contrôles médicaux réguliers ou une médication d'une certaine durée eût alors été instauré. Dans ces circonstances, on doit admettre que le recourant pouvait de bonne foi considérer qu'il ne souffrait pas d’un trouble ayant nécessité un « traitement » dans les cinq années précédentes, tel que visé par la question n°5b du questionnaire (comp. avec les arrêts 109 V 36 et RAMA 1986 n° K 670 p. 131 où le grand nombre et la fréquence des consultations auprès d'un psychiatre, respectivement d'un psychothérapeute, devaient faire comprendre à l'assuré qu'on était en présence d'un véritable traitement médical ; cf. également RJAM 1970 no 82 p. 229). S’il est exact que, comme le relève la défenderesse, la notion de « traitement médical » (ärztlicher Behandlung) doit être interprétée de manière extensive (arrêt du Tribunal fédéral des assurances B 3/06 du 6 juin 2006 consid. 4.3.1), il ne ressort pas de la jurisprudence que l’on devrait qualifier de « traitement médical » une consultation ponctuelle auprès d’un spécialiste, a fortiori lorsqu’aucune médication n’est prescrite (arrêt du Tribunal fédéral 9C_66/2008 du 24 juin 2008 consid. 4.2). Partant, le demandeur n’a pas enfreint son obligation de renseigner en répondant par la négative à la question n°5b du questionnaire de santé, soit celle de savoir s’il avait été « en traitement » auprès d’un médecin durant les cinq dernières années.</w:t>
      </w:r>
    </w:p>
    <w:p>
      <w:r>
        <w:rPr>
          <w:b/>
        </w:rPr>
        <w:t>E. 9.3</w:t>
      </w:r>
    </w:p>
    <w:p>
      <w:r>
        <w:t>S’agissant de la question 8 du questionnaire de santé, on relèvera avec le demandeur qu’elle est formulée de manière évasive en tant qu’elle se réfère à la notion de « problème lié à l’état de santé » n’ayant pas encore fait l’objet d’un traitement (cf. les arrêts du Tribunal fédéral 4A_134/2013 du 11 septembre 2013 consid. 4.2.2 et 4A_94/2019 du 17 juin 2019 consid. 4 concernant les notions de « trouble » ou « d’atteinte à la santé », similaires à celle de « problèmes liés à l’état de santé »). Cela étant dit, selon la jurisprudence, les troubles à la santé soumis à l'obligation de déclarer sont à tout le moins ceux ayant valeur de maladie (ATF 134 III 511 consid. 3.3.4 ; arrêt du Tribunal fédéral 9C_66/2008 du 24 juin 2008 consid. 4.1). Or, on doit admettre que le diagnostic de hernie ombilicale – qui est répertorié sous le chapitre 11 (« maladies de l’appareil digestif »), chiffre K42 de la Classification statistique internationale des maladies et des problèmes de santé connexes, dixième révision (CIM-10) – correspond à une atteinte à la santé ayant valeur de maladie, qui exige un examen médical (cf. art. 3 des conditions générales de la défenderesse pour les assurances complémentaires) et doit être annoncée à l’assureur. ![endif]&gt;![if&gt; La Cour de céans estime que, malgré la formulation quelque peu imprécise de la question 8, le demandeur ne pouvait de bonne foi y répondre par la négative. À l'époque où il répondait, soit en novembre 2018, le demandeur avait récemment consulté, en juillet 2018, un médecin spécialisé en chirurgie viscérale, en raison de symptômes persistants, singulièrement d’une élévation du ventre d’environ 1 cm et d’un changement de forme du nombril. Par le fait même que ces symptômes avaient déterminé le demandeur à consulter un chirurgien, ils étaient indéniablement un « problème lié à l’état de santé » visé par la question (n’ayant pas encore fait l’objet d’un traitement) et le demandeur devait s'en rendre compte, à l'instar de toute personne normalement capable de discernement (dans le même sens, cf. arrêt du Tribunal fédéral 4A_94/2019 du 17 juin 2019 consid. 4 [assuré souffrant de troubles digestifs pour lesquels un spécialiste n’avait mis en évidence aucune atteinte permanente]). On précisera encore que, selon les indications données par le Dr B______, c’est lors de la consultation de juillet 2018 – soit avant la signature de la proposition d’assurance, en novembre 2018 – que le demandeur a eu connaissance du diagnostic « précis » de hernie ombilicale (cf. questionnaire du 2 décembre 2019). Cela correspond d’ailleurs aux indications fournies par le demandeur lui-même, lequel déclare dans son mémoire que la hernie ombilicale lui a été diagnostiquée en juillet 2018 (ch. 13 de la partie « en fait » de la demande). Sous l’angle de la réticence, peu importe l'absence de signes dont on aurait pu inférer la nécessité d'une intervention chirurgicale peu après la conclusion du contrat : selon la jurisprudence, les réponses aux questions servent à évaluer les risques, cas échéant à en exclure certains, et pas uniquement à éviter des dépenses futures plus ou moins certaines (cf. arrêt du Tribunal fédéral 4A_577/2014 du 13 janvier 2015 consid. 1 [assuré présentant une hypertrophie de la prostate, pour laquelle aucune opération n’était prévue au moment de la conclusion du contrat] ; cf également ATF 92 II 342 consid. 3 [assuré souffrant d’une appendicite pour laquelle une opération avait seulement été évoquée par un médecin, sans qu'elle ne s'imposât impérieusement]). Le fait qu’une intervention chirurgicale n’avait pas été prévue au moment de la conclusion du contrat n’exclut donc pas une violation de l’obligation de renseigner. Quant aux déclarations du spécialiste selon lesquelles, en juillet 2018, il n’existait pas d’indication opératoire mais que les choses pouvaient évoluer, la hernie devenir symptomatique et un traitement entrer en considération à l’avenir, ce dont il avait informé le patient, elles démontrent qu'il subsistait une incertitude sur l'évolution future de cette hernie et que la perspective d’un traitement, notamment chirurgical, ne pouvait être définitivement écartée, de sorte que l'information était importante pour la compagnie d'assurance. Certes, le diagnostic posé en juillet 2018 n’était pas nécessairement « grave », dans la mesure où de nombreux patients peuvent vivre normalement avec une hernie ombilicale, selon les explications données par le spécialiste. Il n’en demeure pas moins que lorsqu’il a rempli le questionnaire de santé, le demandeur savait que sa hernie pouvait, en fonction de son évolution, nécessiter un traitement, lequel s’est d’ailleurs finalement révélé indispensable, sous la forme d’une cure chirurgicale. En faisant preuve de l'attention raisonnablement exigible de sa part, le demandeur devait se rendre compte que cette affection était susceptible d’entraîner des coûts médicaux et qu’elle constituait donc un élément important, susceptible de se répercuter sur l’appréciation du risque par l’assureur. En effet, le risque que l'assureur prend est indéniablement plus important lorsqu'il assure un proposant qui, comme le demandeur, a déjà développé une hernie ombilicale au moment de contracter. Pour le reste, le fait que le questionnaire de santé a été rempli avec l’aide d’un agent d’assurance n’est pas déterminant non plus, dès lors que le proposant agit à ses risques et périls lorsqu’il signe le questionnaire rempli par l'agent sans vérifier l'exactitude des réponses transcrites par celui-ci (arrêt du Tribunal fédéral 5C.278/1999 du 11 avril 2000 consid. 5).</w:t>
      </w:r>
    </w:p>
    <w:p>
      <w:r>
        <w:rPr>
          <w:b/>
        </w:rPr>
        <w:t>E. 9.4</w:t>
      </w:r>
    </w:p>
    <w:p>
      <w:r>
        <w:t>En définitive, en répondant par la négative à la question n°8 de la déclaration de santé, le demandeur a manqué à son devoir de renseigner de manière exacte l'assureur sur son état de santé (art. 4 LCA). Aussi est-ce à bon droit que la défenderesse a considéré que le demandeur avait commis une réticence en taisant l’existence de sa hernie omibilicale et que, par son courrier du 3 décembre 2019, elle a résilié le contrat d’assurance et refusé de prendre en charge les frais correspondant à deux jours d’hospitalisation en division demi-privée (CHF 400.-), tels que réclamés par le demandeur. Corollairement, la conclusion tendant à ce que la juridiction cantonale constate l’absence de réticence sera écartée, tout comme celle tendant au paiement de CHF 400.-. ![endif]&gt;![if&gt; Enfin, dans la mesure où le demandeur requiert le paiement d’un capital de CHF 2'500.- pour son hospitalisation, en se référant aux conditions particulières de l’assurance complémentaire « H-Capital », sa conclusion se révèle également infondée, dès lors qu’aucune prestation n’est due par la défenderesse en lien avec l’affection ayant fait l’objet de la réticence (art. 6 al. 3 LCA).</w:t>
      </w:r>
    </w:p>
    <w:p>
      <w:r>
        <w:rPr>
          <w:b/>
        </w:rPr>
        <w:t>E. 10</w:t>
      </w:r>
    </w:p>
    <w:p>
      <w:r>
        <w:t>Au vu de ce qui précède, la demande doit être rejetée.![endif]&gt;![if&gt;</w:t>
      </w:r>
    </w:p>
    <w:p>
      <w:r>
        <w:rPr>
          <w:b/>
        </w:rPr>
        <w:t>E. 11</w:t>
      </w:r>
    </w:p>
    <w:p>
      <w:r>
        <w:t>Il n'est pas perçu de frais judiciaires (art. 114 let. e CPC), ni alloué de dépens à la charge du demandeur (art. 22 al. 3 let. b de la loi d'application du code civil suisse et d'autres lois fédérales en matière civile du 11 octobre 2012 [LaCC - E 1 05]).![endif]&gt;![if&gt;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