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A/201/2024 vom 3. Juni 2024</w:t>
      </w:r>
    </w:p>
    <w:p>
      <w:r>
        <w:t>GE Cour de justice, 2024-06-03, FR</w:t>
      </w:r>
    </w:p>
    <w:p>
      <w:r>
        <w:rPr>
          <w:b/>
        </w:rPr>
        <w:t xml:space="preserve">Quelle: </w:t>
      </w:r>
      <w:r>
        <w:t>https://mcp.opencaselaw.ch/entscheid/ge_gerichte_A_201_2024</w:t>
      </w:r>
    </w:p>
    <w:p>
      <w:r>
        <w:t>FR: GE_GERICHTE A/201/2024 du 3 juin 2024</w:t>
      </w:r>
    </w:p>
    <w:p>
      <w:r>
        <w:t>IT: GE_GERICHTE A/201/2024 del 3 giugno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l'art. 3 des « Conditions générales de l'assurance collective d'une indemnité journalière selon la LCA », édition 01.01.2022 (ci-après : CG) ici applicables, le contrat est régi notamment par la LCA. La compétence de la chambre de céans à raison de la matière pour juger du cas d’espèce est ainsi établie.</w:t>
      </w:r>
    </w:p>
    <w:p>
      <w:r>
        <w:rPr>
          <w:b/>
        </w:rPr>
        <w:t>E. 1.2</w:t>
      </w:r>
    </w:p>
    <w:p>
      <w:r>
        <w:t>Sauf disposition contraire du CPC, pour les actions dirigées contre les personnes morales, le for est celui de leur siège (art. 10 al. 1 let. b CPC), étant précisé que l’art. 17 al. 1 CPC consacre la possibilité d’une élection de for écrite. En l'occurrence, l'art. 43 des CG prévoit qu'en cas de contestation, le preneur d'assurance, l'assuré ou l'ayant droit peut choisir soit les tribunaux de son domicile suisse, soit ceux du siège de l'assureur, soit ceux du lieu de travail suisse pour l'assuré domicilié à l'étranger. Le demandeur, en sa qualité d'assuré, ayant son domicile à Genève, la chambre de céans est compétente à raison du lieu pour connaître de la présente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2.1</w:t>
      </w:r>
    </w:p>
    <w:p>
      <w:r>
        <w:t>À titre liminaire, il convient de se pencher sur la capacité pour défendre de GROUPE MUTUEL ASSURANCES GMA SA.</w:t>
      </w:r>
    </w:p>
    <w:p>
      <w:r>
        <w:rPr>
          <w:b/>
        </w:rPr>
        <w:t>E. 2.2</w:t>
      </w:r>
    </w:p>
    <w:p>
      <w:r>
        <w:t>La question de la qualité pour défendre relève, comme dans un procès civil, du fondement matériel de l'action ( ATAS/1277/2012 du 23 octobre 2012 consid. 4a et la référence citée). À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 114 II 345 consid. 3a).</w:t>
      </w:r>
    </w:p>
    <w:p>
      <w:r>
        <w:rPr>
          <w:b/>
        </w:rPr>
        <w:t>E. 2.3</w:t>
      </w:r>
    </w:p>
    <w:p>
      <w:r>
        <w:t>En l'espèce, le demandeur a assigné AVENIR, en considérant qu'elle était débitrice des indemnités journalières revendiquées. Avant la présente procédure, la correspondance a effectivement été adressée au demandeur par AVENIR (cf. notamment les courriers des 28 juin 2022 « demande de renseignements médicaux », 26 avril 2023 « indemnisation de votre incapacité de travail » par lequel elle mettait un terme aux prestations au 31 mai 2023, et 10 juillet 2023 par lequel elle confirmait sa prise de position du 26 avril 2023). La chambre de céans a invité cette entreprise d'assurance à se déterminer sur la demande en paiement. Dans sa réponse du 14 février 2024, signée par GROUPE MUTUEL ASSURANCES GMA SA, cette dernière a indiqué être devenue l'assureur, en lieu et place d'AVENIR, dès le 1 er décembre 2021 à la suite d'un avenant signé avec le preneur d'assurance concernant le personnel d'exploitation du second-œuvre. Ces deux sociétés sont membres du Groupe Mutuel Holding SA, et ont leur siège au même endroit. Dans ces circonstances, il y a lieu de prendre acte de la substitution des parties, à laquelle GROUPE MUTUEL ASSURANCES GMA SA a consenti en tout cas. La chambre de céans admettra donc que la demande en paiement est dirigée contre cette dernière entité.</w:t>
      </w:r>
    </w:p>
    <w:p>
      <w:r>
        <w:rPr>
          <w:b/>
        </w:rPr>
        <w:t>E. 3.1</w:t>
      </w:r>
    </w:p>
    <w:p>
      <w:r>
        <w:t>Sur le plan matériel, la LCA a fait l’objet d’une révision entrée en vigueur le 1 er janvier 2022 (modification du 19 juin 2020 ; RO 2020 4969 ; RO 2021 357).</w:t>
      </w:r>
    </w:p>
    <w:p>
      <w:r>
        <w:rPr>
          <w:b/>
        </w:rPr>
        <w:t>E. 3.2</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w:t>
      </w:r>
    </w:p>
    <w:p>
      <w:r>
        <w:rPr>
          <w:b/>
        </w:rPr>
        <w:t>E. 3.3</w:t>
      </w:r>
    </w:p>
    <w:p>
      <w:r>
        <w:t>En l’occurrence, le contrat d'assurance a été conclu postérieurement au 31 décembre 2021, de sorte que les dispositions de la LCA applicables seront citées dans leur nouvelle teneur.</w:t>
      </w:r>
    </w:p>
    <w:p>
      <w:r>
        <w:rPr>
          <w:b/>
        </w:rPr>
        <w:t>E. 4</w:t>
      </w:r>
    </w:p>
    <w:p>
      <w:r>
        <w:t>Le litige porte sur le droit éventuel du demandeur à des indemnités journalières au-delà du 31 mai 2023, date à laquelle la défenderesse a mis fin auxdites prestations.</w:t>
      </w:r>
    </w:p>
    <w:p>
      <w:r>
        <w:rPr>
          <w:b/>
        </w:rPr>
        <w:t>E. 5.1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5.3</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6.1</w:t>
      </w:r>
    </w:p>
    <w:p>
      <w:r>
        <w:t>Aux termes de l’art. 168 al. 1 CPC, les moyens de preuve sont le témoignage (let. a) ; les titres (let. b) ; l’inspection (let. c) ; l’expertise (let. d) ; les renseignements écrits (let. e) ; l’interrogatoire et la déposition de partie (let. f).</w:t>
      </w:r>
    </w:p>
    <w:p>
      <w:r>
        <w:rPr>
          <w:b/>
        </w:rPr>
        <w:t>E. 6.2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arrêt du Tribunal fédéral 4D_8/2008 du 31 mars 2008 consid. 3.2.1).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7</w:t>
      </w:r>
    </w:p>
    <w:p>
      <w:r>
        <w:t>Depuis l'entrée en vigueur de la LAMal, le 1 er janvier 1996, les assurances complémentaires à l'assurance-maladie sociale au sens de cette loi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ATF 122 III 118 consid. 2a ;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8.1</w:t>
      </w:r>
    </w:p>
    <w:p>
      <w:r>
        <w:t>Selon l'art. 2 al. 2 1 ère phrase des CG, l'assureur accorde sa garantie pour les conséquences économiques d'une incapacité résultant d'une maladie. Selon l'art. 4 al. 2 1 ère phrase des CG, par maladie, on entend toute atteinte involontaire à la santé physique, mentale ou psychique, médicalement et objectivement décelable, qui n'est pas due à un accident ou à ses suites et qui exige un examen, un traitement médical ou engendre une incapacité. Selon l'al. 4 de cette disposition, sauf indication contraire, le terme incapacité concerne autant l'incapacité de travail que l'incapacité de gain. Selon l'art. 4 al. 5 des CG, est réputée incapacité de travail toute perte, totale ou partielle, de l'aptitude de l'assuré à accomplir les tâches habituelles de la profession exercée qui peuvent raisonnablement être exigées de lui, si cette perte résulte d'une atteinte à sa santé physique, mentale ou psychique. Dès l'instant où la reprise de la profession n'est plus possible, le droit aux prestations dépend de l'incapacité de gain. Selon l'art. 13 al. 4 let. a des CG, l'indemnité journalière est allouée proportionnellement au degré d'incapacité qui doit être d'au moins 25%. Selon l'al. 6 let. b de cette disposition, l'assureur paie l'incapacité médicalement attestée et prouvée. Pour les incapacités de plus de trois jours, l'établissement d'un certificat médical est obligatoire. Une attestation du médecin, basée sur des consultations régulières au cabinet, doit être remise à l'assureur au moins une fois par mois. Selon l'art. 13 al. 7 let. a des CG, l'indemnité journalière due est versée après l'expiration du délai d'attente choisi, pour chaque jour d'incapacité (dimanches et jours fériés y compris). Selon l'art. 38 al. 7 des CG, l'assuré participe, dans les limites de ce qui peut raisonnablement être exigé de lui, à un traitement ou à une mesure de réinsertion professionnelle susceptibles d'améliorer notablement sa capacité de travail ou d'offrir une nouvelle possibilité de gain. L'al. 9 de cette disposition prévoit que le non-respect de ces obligations peut amener à des sanctions de la part de l'assureur pouvant aller jusqu'au refus des prestations conformément à l'art. 25 des CG.</w:t>
      </w:r>
    </w:p>
    <w:p>
      <w:r>
        <w:rPr>
          <w:b/>
        </w:rPr>
        <w:t>E. 8.2</w:t>
      </w:r>
    </w:p>
    <w:p>
      <w:r>
        <w:t>En l'occurrence, la défenderesse admet que le demandeur bénéficie d'une assurance d'indemnité journalière en cas de maladie s'élevant à 80% du salaire assuré, versée pendant 730 jours au maximum, sous déduction d'un délai d'attente de deux jours. Il n'est pas contesté que le demandeur s'est trouvé en incapacité de travail à 100% dès le 26 avril 2022 pour cause de maladie psychique et a touché de ce fait des indemnités journalières jusqu'au 31 mai 2023. La défenderesse a cessé de prester à cette dernière date en s'appuyant sur un rapport d'expertise du 6 décembre 2022 du Dr E______, psychiatre, spécialiste de la discipline médicale ici pertinente. Ce rapport se fonde sur l'anamnèse, l'examen clinique du demandeur et tient compte des plaintes exprimées par ce dernier. Si l'expert n'a que cité le rapport du médecin traitant généraliste du 28 juillet 2022, et semble ne pas avoir pris connaissance du rapport de la psychiatre traitante du 30 juin 2022, dans lequel elle posait le diagnostic d'épisode dépressif sévère avec symptômes psychotiques (F32.3), cela ne discrédite pas en soi les conclusions de l'expert, car il a dûment expliqué les motifs pour lesquels, au jour de son examen le 30 novembre 2022, il excluait la présence d'un trouble dépressif caractérisé ainsi que d'un trouble psychotique. Ainsi, l'humeur du demandeur, légèrement déprimée, était systématiquement décrite dans le registre de l'« angoisse » ou de l'« anxiété », sans qu'un trouble anxieux spécifique ne soit retenu. Le demandeur ne présentait pas une diminution marquée de l'intérêt ou du plaisir dans la plupart des activités habituelles (i.e. football, vie sociale). Il avait en effet repris le football au mois de septembre (2022) et fréquentait le groupe de ses amis d'enfance qu'il considérait comme une « famille soudée ». Le changement d'appétit, associé à une perte pondérale progressive de l'ordre de 1% par mois en moyenne au cours de l'épisode (« 5 kg ces derniers mois »), n'était pas sévère sur le plan psychiatrique. Les insomnies à caractère de troubles de l'endormissement ou de réveils nocturnes brefs n'étaient pas caractéristiques d'une dépression majeure de l'humeur. Il n'y avait pas de trouble de la vigilance, ni signe de fatigabilité physique. Il n'y avait pas non plus de ralentissement ni d'agitation significative sur le plan psychomoteur. Le demandeur pratiquait une activité physique régulière (bricolage, tâches ménagères, entraînement de football, promenade) limitée à une heure sur le plan de l'énergie. L'image de soi était instable, les idées méfiantes l'emportaient sur le sentiment de dévalorisation. L'expert précisait que de telles idées négatives de soi étaient presque toujours présentes même dans les formes légères de dépression. La concentration était fragile, avec des hésitations dans le discours et des phrases inachevées, sans pour autant perte du fil de la discussion. Les capacités de compréhension et de réflexion étaient en revanche dans la norme. Il y avait enfin eu des idées de mort peu concrètes ; l'expertisé envisageait de faire appel à « Exit ». En définitive, l'expert a retenu un épisode de dépression d'une intensité légère, dont la présentation atypique était imputable aux effets probables de la consommation régulière et ancienne de cannabis. Le diagnostic de troubles mentaux et du comportement liés à l'utilisation de dérivés du cannabis, syndrome de dépendance (F12.2), avait un effet sur la capacité de travail du demandeur. Le manque d'énergie d'une intensité moyenne, sans que la reprise ultérieure de l'activité après une pause ne soit entravée, les troubles de la pensée d'une intensité moyenne, et les troubles de la concentration d'une intensité légère à moyenne entraînaient une baisse de la capacité de travail de 75% dans l'activité habituelle. L'expert estimait le pronostic favorable (la capacité de travail pouvait être progressivement augmentée, d'abord à 50% puis à plein temps, en fonction de l'évolution des troubles de la pensée à distance de la consommation de cannabis, au moyen des mesures thérapeutiques préconisées). Le demandeur n'était donc pas confronté à un échec de toute thérapie médicalement indiquée. L'expert n'a pas retenu un trouble spécifique de la personnalité au sens d’une classification diagnostique reconnue. Pour ce qui était du contexte social, le demandeur, même s'il avait réduit sa vie sociale, continuait à fréquenter ses amis d'enfance. Enfin, l'expert a relevé que le comportement du demandeur était cohérent dans tous les domaines de la vie. Il assumait d'une part les tâches ménagères chez son père, s'occupait également du chat, et payait ses factures mais nécessitait d'autre part l'aide de sa mère pour certaines démarches administratives (impôts, échanges avec le syndicat). Si l'expert a relevé une certaine discordance entre la souffrance alléguée et le recours aux soins médicamenteux, cela pouvait cependant s'expliquer par la méfiance et un certain déni. Selon le demandeur, l'expertise comporte des erreurs et incohérence. L'expert retenait que celui-ci n'avait pas de diminution marquée de l'intérêt dans la plupart des activités habituelles, alors qu'il n'avait pas totalement repris son activité sportive où il ne se sentait plus à l'aise, qu'il avait réduit sa vie sociale et qu'il ne faisait plus seul les commissions. L'expert indiquait qu'il n'y avait pas de signe observable de l'agitation subjective décrite, alors que les impatiences dans les membres inférieurs la nuit et une sudation nocturne excessive invoquées ne pouvaient manifestement pas être observées durant un entretien diurne. L'expert mentionnait également qu'il n'y avait pas de signe observable de la plainte de manque d'énergie, alors que le demandeur avait déclaré être fatigué après dix heures de sommeil et que le manque d'énergie d'intensité moyenne était retenu pour justifier la présence de limitations dans l'activité habituelle. Les critiques que formule le demandeur ne sont pas de nature à remettre en cause l'appréciation de l'expert, basée tant sur les déclarations de l'expertisé que sur les observations cliniques, donc objectives. Ainsi, l'expert a constaté que des signes d'intérêt étaient visibles à l'évocation du groupe d'amis et même du chat. Si le demandeur n'a participé qu'à quatre séances d'entraînement de football sur seize en raison du déclin de sa condition physique et du jugement de ses coéquipiers à ce sujet, raison pour laquelle il avait le sentiment de ne pas être bien intégré à l'équipe, il n'a toutefois pas complètement arrêté ce sport, étant de surcroît souligné que l'expert a précisément tenu compte du fait que les troubles de la pensée (méfiante) du demandeur limitaient son rendement. Même si le demandeur a réduit sa vie sociale du fait de se sentir « jugé » sous le regard des autres, il y a lieu d'admettre que le groupe d'amis d'enfance qu'il fréquente, qu'il décrivait comme une « famille soudée », lui procure des ressources mobilisables. Quand bien même le demandeur ne fait plus seul les commissions pour ne pas être « au milieu d'un supermarché rempli de gens » avec le souci de devoir supporter leur regard jugeant, à nouveau, le fonctionnement de la pensée du demandeur a déjà été pris en compte pour évaluer sa capacité de travail, étant relevé que le demandeur peut réaliser seul certaines tâches, raison pour laquelle l'expert n'a pas retenu une totale incapacité de travail. En ce qui concerne les impatiences dans les jambes et les sudations nocturnes, l'expert a mentionné que si les manques d'énergie et de concentration devaient persister après le sevrage de la consommation de cannabis, un trouble intrinsèque devrait alors être envisagé. Or, les médecins traitants du demandeur n'ont évoqué, au cours du sevrage ou postérieurement à celui-ci, aucun autre diagnostic (que ceux de la dépression et de la dépendance au THC). Enfin, quand bien même l'expert a observé que le niveau d'énergie était dans la norme sans signe de fatigabilité physique, il a néanmoins tenu compte du manque d'énergie allégué au quotidien pour évaluer la capacité de travail résiduelle du demandeur dans l'activité habituelle. Comme le relève le médecin-conseil de la défenderesse, ni la psychiatre traitante ni le psychologue du demandeur n'ont fait état d'éléments médicaux objectifs, essentiels, qui auraient été ignorés par l'expert. Dans son rapport du 31 mai 2023, la première considérait que les difficultés attentionnelles, la faible résistance psychique, la présence d'une impulsivité émotionnelle, les moments de recrudescences anxieuses avec tension interne et les idées suicidaires ne permettaient pas une reprise de l'activité professionnelle au 1 er juin 2023. Dans son rapport du 23 mai 2023, le second, que le demandeur consultait dans le cadre du sevrage de cannabis, parallèlement au suivi psychiatrique, mentionnait que la difficulté à démarrer la journée, le rempli social, le trouble du sommeil, la perte d'appétit et de poids, la perte d'élan vital et de confiance, la difficulté à s'occuper des besoins de base, et les idées sombres ne permettaient pas une reprise de travail avant six mois. Force est de constater que ces spécialistes n'ont mis en avant aucun nouveau symptôme qui n'aurait pas déjà été décrit par l'expert. En effet, ce dernier a indiqué que le demandeur se levait entre 10h et 11h, négligeait sa toilette, avait réduit sa vie sociale, présentait des insomnies et manquait d'énergie, décrivait une angoisse fluctuante, rapportait des difficultés de concentration, de même qu'un appétit diminué avec une perte de poids, évoquait des idées de mort avec un moyen peu réaliste, était inquiet, se montrait irrité, manifestait une intolérance à la frustration, avec des signes d'imprégnation à une substance psychoactive dans la nervosité persistante, et sa thymie apparaissait dysphorique, plutôt anxieuse que déprimée. Au demeurant, ni la psychiatre ni le psychologue traitants ne discutent les allégations figurant dans l'expertise psychiatrique. Autrement dit, les allégations contenues dans cette expertise, certes privée, ne font pas l'objet d'une contestation motivée. En conséquence, l'expertise privée emporte la conviction. Il est vrai que l'expert a employé le conditionnel pour se prononcer sur la capacité de travail résiduelle du demandeur au fil du temps. Cela est inhérent au caractère pronostique de ses conclusions, qu'il juge favorable au moyen des mesures médicales préconisées. Ainsi, si elles sont suivies avec succès, la capacité de travail du demandeur, 25% au jour de l'examen, passerait progressivement à 50% puis à 100%. Le fait que l'expert utilise le conditionnel quant au caractère fructueux des options thérapeutiques proposées (« la tentative du sevrage de la consommation de cannabis (…) devrait être fructueuse en quelques semaines (…) ») laisse à penser qu'il se réfère à une situation hypothétique, sans possibilité de connaître la date précise de la capacité de travail du demandeur d'abord à 50%, puis à 100%. Le demandeur a commencé le sevrage de cannabis le 23 mars 2023, comme l'atteste le psychologue traitant dans un rapport du 23 mai 2023. Il s'est donc conformé à son obligation de diminuer le dommage en suivant la mesure thérapeutique recommandée par l'expert. On ignore, faute de document au dossier, le moment où la défenderesse a communiqué le rapport d'expertise du 6 décembre 2022 au demandeur. En tout cas, elle a cité ce rapport dans son courrier du 26 avril 2023 par lequel elle a mis un terme au versement des prestations au 31 mai 2023. Dans ces circonstances, on ne saurait considérer que le demandeur aurait tardé à suivre cette mesure. Le pronostic de l'expert ne s'est pas réalisé, puisque deux mois après le début du sevrage, la capacité de travail du demandeur ne s'était pas encore améliorée. Dans la mesure où les certificats d'arrêt de travail émis par la psychiatre traitante sont très sommaires, à l'inverse du rapport de celle-ci du 31 mai 2023, plus détaillé sans qu'il ne fasse toutefois état d'éléments médicaux objectifs nouveaux, et que la défenderesse n'a pas mis en œuvre une nouvelle expertise pour la période postérieure au 31 mai 2023, date de la fin de ses prestations, il est établi que la capacité de travail du demandeur est demeurée à 25% dans son activité habituelle jusqu'au 30 novembre 2023 puis a augmenté à 50% jusqu'au 31 janvier 2024. En d'autres termes, il y a lieu de suivre les conclusions de l'expert, convaincantes, en ce qui concerne le taux de la capacité de travail du demandeur dans son activité habituelle, et celles de la psychiatre traitante s'agissant des dates auxquelles cette capacité de travail a changé. Au passage, la remise du certificat médical le 17 octobre 2023 pour la période rétroactive dès le 1 er octobre 2023, et le 8 novembre 2023 pour la période rétroactive dès le 1 er novembre 2023 ne sont pas caduques, dès lors que la psychiatre traitante suivait le demandeur depuis le 17 juin 2022 et connaissait bien la situation de celui-ci.</w:t>
      </w:r>
    </w:p>
    <w:p>
      <w:r>
        <w:rPr>
          <w:b/>
        </w:rPr>
        <w:t>E. 8.3</w:t>
      </w:r>
    </w:p>
    <w:p>
      <w:r>
        <w:t>Partant, le demandeur a droit aux indemnités journalières pour cause de maladie à hauteur de CHF 25'338.45 pour la période du 1 er juin 2023 au 31 janvier 2024 ([CHF 150.60 × 75 / 100%] × 183 jours + [CHF 150.60 × 50 / 100%] × 62 jours).</w:t>
      </w:r>
    </w:p>
    <w:p>
      <w:r>
        <w:rPr>
          <w:b/>
        </w:rPr>
        <w:t>E. 9</w:t>
      </w:r>
    </w:p>
    <w:p>
      <w:r>
        <w:t>Par conséquent, la demande en paiement est partiellement admise, en ce sens que la défenderesse sera condamnée à verser au demandeur le montant de CHF 25'338.45, représentant les indemnités journalières selon la LCA pour la période du 1 er juin 2023 au 31 janvier 2024.</w:t>
      </w:r>
    </w:p>
    <w:p>
      <w:r>
        <w:rPr>
          <w:b/>
        </w:rPr>
        <w:t>E. 10</w:t>
      </w:r>
    </w:p>
    <w:p>
      <w:r>
        <w:t>Au vu de ce qui précède, la chambre de céans disposant de tous les éléments nécessaires pour statuer sur le droit du demandeur à des indemnités journalières, il est superflu, par appréciation anticipée des preuves, d'organiser une audience de débats et de donner suite aux mesures d'instructions sollicitées par celui-ci (dans ce sens : ATAS/1016/2023 du 19 décembre 2023 consid. 9.2.2). Au demeurant, comme le demandeur est pleinement apte à travailler dans son activité habituelle depuis le 1 er février 2024, l'expertise judiciaire permettrait difficilement d'établir son état de santé passé et l'expert serait à cet égard renvoyé aux renseignements médicaux au dossier, lesquels sont suffisants pour établir le droit du demandeur.</w:t>
      </w:r>
    </w:p>
    <w:p>
      <w:r>
        <w:rPr>
          <w:b/>
        </w:rPr>
        <w:t>E. 11</w:t>
      </w:r>
    </w:p>
    <w:p>
      <w:r>
        <w:t>Le demandeur, représenté par un conseil, obtient partiellement gain de cause, de sorte qu’il a droit à des dépens.</w:t>
      </w:r>
    </w:p>
    <w:p>
      <w:r>
        <w:rPr>
          <w:b/>
        </w:rPr>
        <w:t>E. 11.1</w:t>
      </w:r>
    </w:p>
    <w:p>
      <w:r>
        <w:t>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Ceux-ci sont, en principe, mis à la charge de la partie qui succombe (art. 106 al. 1 CPC).</w:t>
      </w:r>
    </w:p>
    <w:p>
      <w:r>
        <w:rPr>
          <w:b/>
        </w:rPr>
        <w:t>E. 11.2</w:t>
      </w:r>
    </w:p>
    <w:p>
      <w:r>
        <w:t>La valeur litigieuse, telle que définie par les conclusions du demandeur, s'élève à CHF 31'689.10, ce qui correspond à des dépens de CHF 5'185.80 selon l'art. 85 al. 1 RTFMC, auxquels il convient d’ajouter la TVA (8,1% ; art. 25 al. 1 et 115 al. 1 de la loi fédérale régissant la taxe sur la valeur ajoutée du 12 juin 2009 [LTVA - RS 641.20] dans sa teneur en vigueur à compter du 1 er janvier 2024) et les débours (3%), de sorte que le montant total, arrondi, s’élève à CHF 5'761.40 (art. 25 et 26 al. 1 de la loi d'application du code civil suisse et d’autres lois fédérales en matière civile du 11 octobre 2012 [LaCC - E 1 05] ; art. 84 et 85 RTFMC).</w:t>
      </w:r>
    </w:p>
    <w:p>
      <w:r>
        <w:rPr>
          <w:b/>
        </w:rPr>
        <w:t>E. 12</w:t>
      </w:r>
    </w:p>
    <w:p>
      <w:r>
        <w:t>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