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A/2018/2022 vom 7. November 2023</w:t>
      </w:r>
    </w:p>
    <w:p>
      <w:r>
        <w:t>GE Cour de justice, 2023-11-07, FR</w:t>
      </w:r>
    </w:p>
    <w:p>
      <w:r>
        <w:rPr>
          <w:b/>
        </w:rPr>
        <w:t xml:space="preserve">Quelle: </w:t>
      </w:r>
      <w:r>
        <w:t>https://mcp.opencaselaw.ch/entscheid/ge_gerichte_A_2018_2022</w:t>
      </w:r>
    </w:p>
    <w:p>
      <w:r>
        <w:t>FR: GE_GERICHTE A/2018/2022 du 7 novembre 2023</w:t>
      </w:r>
    </w:p>
    <w:p>
      <w:r>
        <w:t>IT: GE_GERICHTE A/2018/2022 del 7 novembre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2017 est entrée en vigueur la modification du 25 septembre 2015 de la LAA. Dans la mesure où les accidents concernés par la présente procédure sont survenus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ainsi citées ci-après dans leur teneur en vigueur à compter du 1 er janvier 2017.![endif]&gt;![if&gt;</w:t>
      </w:r>
    </w:p>
    <w:p>
      <w:r>
        <w:rPr>
          <w:b/>
        </w:rPr>
        <w:t>E. 4</w:t>
      </w:r>
    </w:p>
    <w:p>
      <w:r>
        <w:t>Le délai de recours est de trente jours (art. 56 LPGA ; art. 62 al. 1 de la loi sur la procédure administrative du 12 septembre 1985 [LPA - E 5 10]). ![endif]&gt;![if&gt; Interjeté dans la forme et le délai prévus par la loi, compte tenu du fait que le 19 juin 2022 était un dimanche et que le délai s'en trouve reporté au premier jour ouvrable qui suit (cf. art. 38 al. 3 LPGA), le recours est recevable.</w:t>
      </w:r>
    </w:p>
    <w:p>
      <w:r>
        <w:rPr>
          <w:b/>
        </w:rPr>
        <w:t>E. 5</w:t>
      </w:r>
    </w:p>
    <w:p>
      <w:r>
        <w:t>Le litige porte sur le taux de la rente d'invalidité en faveur du recourant, étant précisé qu'il s'agit d'une rente transitoire, et celui de l'IPAI.![endif]&gt;![if&gt;</w:t>
      </w:r>
    </w:p>
    <w:p>
      <w:r>
        <w:rPr>
          <w:b/>
        </w:rPr>
        <w:t>E. 6</w:t>
      </w:r>
    </w:p>
    <w:p>
      <w:r>
        <w:t>![endif]&gt;![if&gt;</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références).![endif]&gt;![if&gt;</w:t>
      </w:r>
    </w:p>
    <w:p>
      <w:r>
        <w:rPr>
          <w:b/>
        </w:rPr>
        <w:t>E. 6.2</w:t>
      </w:r>
    </w:p>
    <w:p>
      <w:r>
        <w:t>.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références).![endif]&gt;![if&gt;</w:t>
      </w:r>
    </w:p>
    <w:p>
      <w:r>
        <w:rPr>
          <w:b/>
        </w:rPr>
        <w:t>E. 7</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LAA).![endif]&gt;![if&gt;</w:t>
      </w:r>
    </w:p>
    <w:p>
      <w:r>
        <w:rPr>
          <w:b/>
        </w:rPr>
        <w:t>E. 8</w:t>
      </w:r>
    </w:p>
    <w:p>
      <w:r>
        <w:t>![endif]&gt;![if&gt;</w:t>
      </w:r>
    </w:p>
    <w:p>
      <w:r>
        <w:rPr>
          <w:b/>
        </w:rPr>
        <w:t>E. 8.1</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revenus).![endif]&gt;![if&gt; Selon l'art. 7 LPGA (dans sa teneur en vigueur dès le 1 er janvier 2021),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8.2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8.3</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tard.![endif]&gt;![if&gt;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 Dans l'ATF 116 V 246 , le Tribunal fédéral a estimé que la rente transitoire fondée sur l'art. 30 OLAA doit être fixée d'après la méthode générale de comparaison des revenus. Toutefois, l'évaluation de l'invalidité intervient dans ce cas avant l'exécution éventuelle de mesures de réadaptation. Seule entre en considération, à cette date, l'activité qui peut raisonnablement être exigée de la part d'un assuré non encore réadapté, compte tenu de la situation équilibrée du marché du travail. Dans un arrêt du 15 octobre 2014 ( 8C_347/2014 consid. 4.2.3), la Haute Cour, commentant l'arrêt publié précité, a indiqué qu'elle avait admis une dérogation à la comparaison ordinaire des revenus, dans le cas d'un assuré dont on pouvait supposer, au vu des circonstances, qu'il pourrait conserver une emploi auprès de son ancien employeur grâce aux mesures de réadaptation prévues par l'assurance-invalidité, car il ne pouvait être exigé de lui qu'il change d'emploi avant la fin de ces mesures ; il fallait alors fixer provisoirement le degré d'invalidité de l'assuré en fonction de la capacité de travail auprès de l'ancien employeur ; tel n'était pas le cas dans l'affaire qui était alors soumise au Tribunal fédéral, l'assuré ayant perdu le poste qu'il occupait peu après l'accident, de sorte qu'il n'existait aucun indice d'une réintégration même approximativement aussi stable et prometteuse que celle qui était à la base de l'ATF 116 V 246 . Récemment, le Tribunal fédéral a jugé que l'activité raisonnablement exigible ne correspond pas (forcément) à l'activité habituelle, à tout le moins pas dans les cas où l'ancienne activité n'est plus exigible, indépendamment de la mise en œuvre de mesures de réadaptation (arrêts du Tribunal fédéral 8C_99/2023 du 7 août 2023 consid. 4.2).</w:t>
      </w:r>
    </w:p>
    <w:p>
      <w:r>
        <w:rPr>
          <w:b/>
        </w:rPr>
        <w:t>E. 9</w:t>
      </w:r>
    </w:p>
    <w:p>
      <w:r>
        <w:t>![endif]&gt;![if&gt;</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w:t>
      </w:r>
    </w:p>
    <w:p>
      <w:r>
        <w:rPr>
          <w:b/>
        </w:rPr>
        <w:t>E. 9.2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 128 V 174 ).![endif]&gt;![if&gt;</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références).![endif]&gt;![if&gt;</w:t>
      </w:r>
    </w:p>
    <w:p>
      <w:r>
        <w:rPr>
          <w:b/>
        </w:rPr>
        <w:t>E. 9.4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références).![endif]&gt;![if&gt;</w:t>
      </w:r>
    </w:p>
    <w:p>
      <w:r>
        <w:rPr>
          <w:b/>
        </w:rPr>
        <w:t>E. 9.5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9.6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![endif]&gt;![if&gt;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w:t>
      </w:r>
    </w:p>
    <w:p>
      <w:r>
        <w:rPr>
          <w:b/>
        </w:rPr>
        <w:t>E. 9.7</w:t>
      </w:r>
    </w:p>
    <w:p>
      <w:r>
        <w:t>Le salaire fondé sur les ESS doit encore être adapté à l’horaire de travail usuel de la branche, et indexé à l’année déterminante en tenant compte des valeurs spécifiques au sexe (ATF 129 V 408 ).![endif]&gt;![if&gt;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10</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 ![endif]&gt;![if&gt;</w:t>
      </w:r>
    </w:p>
    <w:p>
      <w:r>
        <w:rPr>
          <w:b/>
        </w:rPr>
        <w:t>E. 11</w:t>
      </w:r>
    </w:p>
    <w:p>
      <w:r>
        <w:t>![endif]&gt;![if&gt;</w:t>
      </w:r>
    </w:p>
    <w:p>
      <w:r>
        <w:rPr>
          <w:b/>
        </w:rPr>
        <w:t>E. 11.1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ATF 125 II 169 consid. 2d).</w:t>
      </w:r>
    </w:p>
    <w:p>
      <w:r>
        <w:rPr>
          <w:b/>
        </w:rPr>
        <w:t>E. 11.2</w:t>
      </w:r>
    </w:p>
    <w:p>
      <w:r>
        <w:t>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phrase).![endif]&gt;![if&gt;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w:t>
      </w:r>
    </w:p>
    <w:p>
      <w:r>
        <w:rPr>
          <w:b/>
        </w:rPr>
        <w:t>E. 12</w:t>
      </w:r>
    </w:p>
    <w:p>
      <w:r>
        <w:t>Depuis le 1 er janvier 2016, le montant maximum du gain assuré s’élève à CHF 148'200.- par an et CHF 406.- par jour (art. 22 al. 1 OLAA).![endif]&gt;![if&gt;</w:t>
      </w:r>
    </w:p>
    <w:p>
      <w:r>
        <w:rPr>
          <w:b/>
        </w:rPr>
        <w:t>E. 13</w:t>
      </w:r>
    </w:p>
    <w:p>
      <w:r>
        <w:t>![endif]&gt;![if&gt;</w:t>
      </w:r>
    </w:p>
    <w:p>
      <w:r>
        <w:rPr>
          <w:b/>
        </w:rPr>
        <w:t>E. 13.1</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14</w:t>
      </w:r>
    </w:p>
    <w:p>
      <w:r>
        <w:t>![endif]&gt;![if&gt;</w:t>
      </w:r>
    </w:p>
    <w:p>
      <w:r>
        <w:rPr>
          <w:b/>
        </w:rPr>
        <w:t>E. 14.1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5.1).![endif]&gt;![if&gt;</w:t>
      </w:r>
    </w:p>
    <w:p>
      <w:r>
        <w:rPr>
          <w:b/>
        </w:rPr>
        <w:t>E. 14.2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 Sans remettre en cause le principe de la libre appréciation des preuves, le Tribunal fédéral a posé des lignes directrices en ce qui concerne la manière d'apprécier certains types d'expertises ou de rapports médicaux (ATF 125 V 351 consid. 3b).</w:t>
      </w:r>
    </w:p>
    <w:p>
      <w:r>
        <w:rPr>
          <w:b/>
        </w:rPr>
        <w:t>E. 14.3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14.4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référence).![endif]&gt;![if&gt;</w:t>
      </w:r>
    </w:p>
    <w:p>
      <w:r>
        <w:rPr>
          <w:b/>
        </w:rPr>
        <w:t>E. 16</w:t>
      </w:r>
    </w:p>
    <w:p>
      <w:r>
        <w:t>En l'espèce, le recourant sollicite, en premier lieu, l'annulation de la décision du 19 mai 2022, au motif qu'elle ne porterait que sur les suites de l'accident du 25 février 2019 (lésions de l'épaule droite) et ne contiendrait pas d'évaluation de sa cuisse gauche, atteinte lors de l'accident du 6 décembre 2017.![endif]&gt;![if&gt; Une telle opinion ne saurait être suivie. Certes, certains éléments du dossier créent une confusion quant aux lésions analysées, faisant l'objet de la décision de rente et d'IPAI. En premier lieu, la décision du 29 décembre 2021 ne portait que le numéro de référence du sinistre concernant l'épaule du recourant. De plus, lors du séjour du recourant au sein de la CRR, l'attention des évaluateurs a plus porté sur l'état de l'épaule que de la cuisse, (cf. notamment la consultation orthopédique du 31 janvier 2021 ne mentionnant que l'atteinte à l'épaule droite), et la première lettre de sortie ne contenait pas de limitations fonctionnelles afférentes à la cuisse. Cependant, le fait que l'intimée ait mentionné un seul numéro de sinistre sur sa décision initiale (tandis que les deux références sont indiquées dans la décision sur opposition) et que la décision en question ainsi que l'opposition formulée par le recourant ne se retrouvent que dans le dossier afférent à ce membre résulte, selon toute vraisemblance, d'une erreur administrative, liée au fait que l'intimée avait cessé de verser des indemnités journalières pour la cuisse gauche et continuait d'en verser pour l'épaule droite après le 30 juin 2019. En tout état, seul un examen au fond des mesures d'instruction menées par l'intimée permet de déterminer si le membre inférieur gauche du recourant a bien été pris en considération. À cet égard, il sied de constater qu'à la demande du gestionnaire des dossiers, la CRR a répondu qu'elle avait bien examiné les troubles des ischio-jambiers (cf. notice téléphonique du 19 février 2020) et a corrigé en ce sens sa lettre de sortie, mentionnant directement des limitations fonctionnelles pour ce membre (course rapide et montée de manière répétitive des échafaudages et/ou d'échelles avec des charges lourdes). Quant au Dr F______, il a examiné personnellement le recourant à deux occasions. La première évaluation du 14 octobre 2019 porte la référence des deux sinistres litigieux, contient un résumé des pièces afférentes aux deux accidents, et les constatations cliniques et diagnostics posés concernent les deux membres. Il en va de même de l'évaluation ultérieure du 5 octobre 2020. Les deux évaluations précisent en outre que la situation semble stabilisée pour la cuisse gauche, et celle du 5 octobre 2020 propose de réaliser une injection de botox si les médecins traitants du recourant l'estiment pertinent (ce qu'envisageait déjà le Dr C______ [cf. rapport de consultation du 4 juin 2020] et qui a été jugé comme un traitement de dernier recours par le Dr H______ dans sa lettre du 22 novembre 2020, sans littérature démontrant une efficacité significative). Quant à l'appréciation médicale du 7 mai 2021 du Dr F______, elle contient à nouveau les références des deux sinistres et fait suite à la demande du gestionnaire de réaliser un bilan final pour les deux cas, étant précisé que ce dernier mentionnait que la situation apparaissait stabilisée en ce qui concernait la cuisse gauche, conformément à une discussion téléphonique échangée le 25 février 2021 avec le recourant, au cours de laquelle celui-ci avait expliqué que sa jambe ne connaissait plus d'évolution et qu'il n'existait aucune proposition thérapeutique, malgré qu'il conservait des douleurs, notamment à la marche rapide et lors de la montée d'escaliers. Certes, le rapport du 7 mai 2021 ne liste pas les pièces médicales concernant la cuisse, postérieures à l'examen du 5 octobre 2020, et l'appréciation du Dr F______ ne mentionne que l'épaule droite. Cependant, compte tenu de la réponse de ce médecin du 2 septembre 2021, aux termes de laquelle l'examen clinique du 5 octobre 2020 confirmait l'absence de conséquences cliniques à caractère durable de la cuisse gauche, de sorte qu'aucune modification de l'exigibilité ou de l'IPAI n'était à retenir, et compte tenu du fait que cet examen du 5 octobre 2020 ne démontrait globalement pas de douleurs à la mobilité du membre inférieur gauche, l'on peut considérer que le médecin d'arrondissement n'a pas fait état, le 7 mai 2021, des dernières pièces et de ses réflexions concernant ce membre car il n'estimait pas celles-ci de nature à modifier ses conclusions. Par ailleurs, il n'apparaît pas que les deux pièces médicales postérieures à l'évaluation du 5 octobre 2020 soient en l'occurrence décisives, puisque l'IRM du 22 décembre 2020 conclut à l'absence de signe de récidive de déchirure et le rapport du Dr C______ du 19 février 2021 confirme une bonne cicatrisation de la réinsertion des ischio-jambiers et préconise la poursuite du traitement conservateur, compte tenu de la persistance des douleurs ressenties par le recourant. De plus, il sied de constater que dans l'évaluation de l'atteinte à l'intégrité du 7 mai 2021, le Dr F______ mentionne expressément le status après rupture des ischio-jambiers de la cuisse gauche, opérés en 2018. Il en découle qu'il avait cette atteinte en tête lorsqu'il s'est, le même jour, prononcé sur la capacité de travail. Le fait qu'il n'ait pas conclu à l'octroi d'une IPAI pour l'atteinte de ce membre signifie uniquement qu'il n'en jugeait pas les conditions remplies, et non, comme le soutient le recourant, que l'atteinte n'a pas été investiguée. Le recourant voit également dans la lettre du Dr F______ du 26 octobre 2021 à l'intention du Dr C______ la confirmation de ce que l'intimée n'aurait pas investigué l'état de sa cuisse, en ce que celui-là a affirmé qu'il ne pouvait pas retenir une incapacité de travail à cause de ce membre si le recourant n'avait pas modifié son activité professionnelle pour respecter les épargnes de l'épaule, mais qu'une nouvelle évaluation serait faite en cas de changement de profession. Une telle déduction ne peut néanmoins être tirée du courrier précité. En effet, dans le paragraphe qui précède celui en cause, le médecin d'arrondissement a relevé qu'en raison des suites des accidents concernant l'épaule et la cuisse, il avait acté de la nécessité d'un changement définitif de profession, alors que le recourant continuait son activité de maçon. Le paragraphe litigieux, dans lequel le Dr F______ souligne par ailleurs qu'il sera très difficile de faire la différence des capacités de travail pour un travail autre que celui de maçon nécessitant l'usage des deux zones corporelles atteintes, vise ainsi à expliquer que toute activité physique qui ne respecterait pas les limitations fonctionnelles induites tant par l'épaule que par la cuisse était proscrite. Une nouvelle fois interrogé par l'administration en relation avec le rapport du Dr C______ du 7 octobre 2021, le Dr F______ a par ailleurs confirmé ses précédentes conclusions (cf. réponse du 16 décembre 2021). Par conséquent, si l'on peut reprocher à l'intimée d'avoir créé une confusion dans la manière avec laquelle elle a traité les deux dossiers, un examen sur le fond de ceux-ci et du contenu des évaluations du médecin d'arrondissement ne permet pas de retenir que l'état de la cuisse gauche du recourant n'a pas été analysé. Autres sont les questions de savoir si l'appréciation de l'intimée à cet égard est convaincante, et d'en tirer les conclusions en terme de capacité de travail dans une activité adaptée et du taux d'IPAI, ce qui sera examiné ci-après.</w:t>
      </w:r>
    </w:p>
    <w:p>
      <w:r>
        <w:rPr>
          <w:b/>
        </w:rPr>
        <w:t>E. 17</w:t>
      </w:r>
    </w:p>
    <w:p>
      <w:r>
        <w:t>Dans un second moyen, le recourant conteste qu'il dispose d'une pleine capacité de travail dans une activité adaptée et relève que l'appréciation du 7 mai 2021 du Dr F______ a listé ses limitations fonctionnelles en réponse à la question du gestionnaire de savoir si le taux d'activité dans le métier de maçon pouvait être augmenté et en mentionnant uniquement des « activités à déconseiller », ce qui était insuffisant pour constituer une base valable de refus de rente.![endif]&gt;![if&gt; Le grief est infondé. Si le Dr F______ a certes listé les limitations fonctionnelles du recourant sous le point deux de son appréciation, et que la deuxième question de l'administration portait sur la possibilité d'augmenter le taux d'activité dans la profession habituelle, et qu'il a parlé d'« activités à déconseiller », il n'en demeure pas moins qu'il s'est prononcé sur les limitations fonctionnelles. Peu importe si l'ordre des réponses du médecin d'arrondissement ne respecte pas strictement le canevas posé par l'administration, l'essentiel étant que les point litigieux et déterminants aient été abordés. Or, tel est le cas en l'espèce, ce d'autant plus que la réponse à la troisième question de l'administration (concernant les activités et tâches que le recourant peut encore exercer compte tenu de sa capacité fonctionnelle résiduelle en termes de temps et de rendement) se réfère aux restrictions précédemment notées et ajoute au surplus que l'on peut s'attendre à un rendement total et à une pleine capacité de travail si ces limitations sont respectées.</w:t>
      </w:r>
    </w:p>
    <w:p>
      <w:r>
        <w:rPr>
          <w:b/>
        </w:rPr>
        <w:t>E. 18</w:t>
      </w:r>
    </w:p>
    <w:p>
      <w:r>
        <w:t>Il convient à présent de déterminer si l'intimée s'est valablement fondée sur les évaluations du Dr F______ pour fixer le droit à la rente et à l'IPAI du recourant.![endif]&gt;![if&gt;</w:t>
      </w:r>
    </w:p>
    <w:p>
      <w:r>
        <w:rPr>
          <w:b/>
        </w:rPr>
        <w:t>E. 18.1</w:t>
      </w:r>
    </w:p>
    <w:p>
      <w:r>
        <w:t>Sur la forme, les conclusions du Dr F______ sont conformes aux exigences dégagées par la jurisprudence. Ce médecin a en effet rédigé ses conclusions, le 7 mai 2021, après avoir pris connaissance du dossier médical du recourant, incluant les examens d’imagerie, étant relevé que l'absence de mention du rapport du Dr C______ du 19 février 2021 et de l'IRM du 22 décembre 2020 ne signifie pas encore que ces pièces – qui figurent au dossier du recourant – n'ont pas été consultées par le médecin d'arrondissement ; comme vu supra (cf. consid. 16) , elles ne contiennent en tout état aucun élément permettant de modifier les conclusions du médecin d'arrondissement. Le Dr F______ a au surplus, le 14 octobre 2019 et le 5 octobre 2020, interrogé le recourant sur son anamnèse, a rapporté ses plaintes et a procédé à deux examens cliniques complets avant de poser ses diagnostics, d’établir les limitations fonctionnelles du recourant, de se prononcer sur sa capacité de travail et sur l'atteinte à l'intégrité.![endif]&gt;![if&gt;</w:t>
      </w:r>
    </w:p>
    <w:p>
      <w:r>
        <w:rPr>
          <w:b/>
        </w:rPr>
        <w:t>E. 18.2</w:t>
      </w:r>
    </w:p>
    <w:p>
      <w:r>
        <w:t>Concernant l'épaule droite, les conclusions du Dr F______ rejoignent par ailleurs pour l'essentiel celles provisoirement dressées par la CRR et, au jour du prononcé de la décision de rente et d'IPAI, n'étaient contredites par aucun élément médical.![endif]&gt;![if&gt; Concernant la cuisse du recourant, le fait que le Dr C______ relève, dans son rapport du 7 octobre 2021, qu'une activité à 100% n'est pas imaginable, ne s'oppose pas aux conclusions du médecin d'arrondissement. En effet, il apparaît que ce médecin traitant se réfère à l'activité habituelle du recourant, mentionnant expressément que la présence de crampes douloureuses empêche le recourant de continuer son travail, avec un manque de force et des difficultés en montée. Au demeurant, le Dr C______ ne fournit aucune explication des raisons pour lesquelles l'incapacité de travail du recourant serait de 60% à cause de sa cuisse, alors qu'il délivrait jusqu'alors des arrêts de travail de 40% pour ce membre. Qui plus est, même si l'on peut regretter que le Dr F______ n'ait pas expressément dit qu'il excluait des limitations fonctionnelles pour la cuisse gauche ou précisé celles qu'il aurait jugées pertinentes – doute qu'il n'a pas dissipé dans la suite de ses écritures –, il ressort de l'évaluation de la CRR (qui retient des limitations dans la course rapide et la montée de manière répétitive d'échafaudages et/ou d'échelles avec des charges lourdes), mais également des constatations cliniques du Dr F______ que le recourant n'a pas de limitations fonctionnelles du membre inférieur gauche dans une activité physiquement peu astreignante (il est relevé dans l'appréciation du 5 octobre 2020 dudit médecin d'arrondissement que le recourant peut marcher correctement et que la mobilité ne déclenche globalement pas de douleurs, alors que dans l'évaluation du 14 octobre 2019 la récupération est jugée globalement satisfaisante, avec quelques séquelles d'instabilité qui devraient pouvoir s'améliorer avec de la physiothérapie). Les déclarations du recourant au gestionnaire de dossier semblent en outre confirmer l'absence de limitations autres que dans une activité physique, ce dernier ne rapportant que des difficultés à la marche rapide et lors de montées d'escaliers (cf. notice de l'entretien téléphonique du 25 février 2021). Même s'il est vrai que les notes de suite antérieures du Dr C______ de janvier 2021 et le rapport du 16 août 2019 de ce médecin mentionnent des douleurs à la position assise, de telles douleurs ne sont par la suite plus rapportées, que ce soit par le recourant lui-même ou ses médecins, notamment pas dans le rapport du Dr C______ du 7 octobre 2021 qui décrit des limitations uniquement dans l'activité habituelle. Par conséquent, l'intimée était fondée à rendre une décision de rente et d'IPAI sur la base des conclusions de son médecin d'arrondissement.</w:t>
      </w:r>
    </w:p>
    <w:p>
      <w:r>
        <w:rPr>
          <w:b/>
        </w:rPr>
        <w:t>E. 18.3</w:t>
      </w:r>
    </w:p>
    <w:p>
      <w:r>
        <w:t>Reste à examiner si le rapport du Dr G______ du 4 novembre 2022 permet de jeter un doute sur la valeur probante des constatations du Dr F______.![endif]&gt;![if&gt; À titre liminaire, il sied de rappeler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En application des principes qui précèdent, il n'y a pas de raison d'écarter le rapport du Dr G______, celui-ci décrivant la situation du recourant sans qu'un élément de modification de son état de santé postérieurement à la décision entreprise ne soit relevé. Concernant la cuisse gauche, le Dr G______ relate, à l'anamnèse, une limitation du périmètre de marche et dans les charges transportables, ainsi que des douleurs à la station assise prolongée et parfois des douleurs nocturnes insomniantes. Au status, il retrouve des amplitudes normales, si ce n'est en flexion, des douleurs à la palpation, ainsi qu'une trophicité du tendon conjoint des ischio-jambiers moindre. Concernant l'épaule droite, l'anamnèse dressée par le Dr G______ fait état de limitations dans les amplitudes articulaires, d'un manque de force limitant le port de charges et de douleurs nocturnes. Au status, les limitations de l'épaule sont décrites comme plus importantes que celles de de la cuisse. L'on constate par ailleurs que les diagnostics posés par les Drs F______ et G______ se rejoignent, mais que leur analyse de la capacité de travail du recourant diverge, le second rapportant que dans un métier sédentaire, sans charges, le recourant pourrait probablement travailler à 60% si le poste était adapté. À ce propos, la chambre de céans observe que les restrictions mentionnées par le Dr G______ sous la rubrique « diminution de rendement du patient » sont en réalité des limitations fonctionnelles (impossibilité de rester assis plus de deux heures, alternance des positions assis/debout/marche, pas de marche de plus de 1 km à la fois et supérieure à 5 km dans la journée, pas de travail au-dessus des épaules et charges limitées à 10 kg). Contrairement à l'avis de ce médecin, dans un poste adapté respectant ces limitations, on ne discerne pas quels motifs permettraient de retenir que le recourant aurait une diminution de rendement. Il n'est par exemple pas indiqué que le recourant devrait si fréquemment réaliser des pauses pour changer de positions que son rendement en serait affecté. Pour ces motifs, la chambre de céans n'est pas convaincue par l'évaluation de la capacité de travail du recourant dans une activité adaptée faite par le Dr G______, ce d'autant plus que ce dernier n'est pas catégorique quant au taux retenu et que sa conclusion, peu motivée, semble plus guidée par des considérations afférentes à l'opportunité, pour le recourant, de conserver son emploi auprès de son employeuse que fondée sur une analyse médico-théorique (cf. affirmation selon laquelle la situation actuelle du recourant est au-delà de ce que l'on pouvait attendre de mieux pour sa réinsertion professionnelle et que, s'il pouvait être maintenu à ce poste, la capacité de travail et le rendement seraient les meilleurs que l'on puisse attendre dans la situation post-traumatique, de sorte que chercher à obtenir plus serait contreproductif). Il n'est en particulier pas convaincant que le Dr G______ retienne qu'à son poste actuel le recourant a les meilleurs taux de capacité de travail et de rendement, alors qu'il y est actif à 50% et qu'il pourrait, selon l'opinion du même médecin, travailler à 60% dans une activité adaptée.</w:t>
      </w:r>
    </w:p>
    <w:p>
      <w:r>
        <w:rPr>
          <w:b/>
        </w:rPr>
        <w:t>E. 18.4</w:t>
      </w:r>
    </w:p>
    <w:p>
      <w:r>
        <w:t>Du reste, il sied de rappeler qu'en cas d'incapacité de travail de longue durée, l'activité qui peut être exigée d'un assuré peut aussi relever d'une autre profession ou d'un autre domaine d'activité (art. 6 LPGA) et que l'évaluation de l'incapacité de gain se fait en fonction de la diminution des possibilités de gain sur le marché équilibré du travail, ce qui implique, en vertu du principe de l'obligation diminuer le dommage, que la personne assurée accepte un changement de profession (cf. consid. 10 supra ; Margrit MOSER-SZELESS in Commentaire romand, Loi sur la partie générale des assurances sociales, 2018, n. 18 ad art. 7 LPGA).![endif]&gt;![if&gt; En définitive, il ressort des rapports médicaux de la CRR et du Dr G______ que les limitations induites par l'état des ischio-jambiers empêchent des activités physiques, voire nécessitent une alternance des positions (cf. impossibilité de rester assis plus de deux heures, alternance des positions assis/debout/marche, pas de marche de plus de 1 km à la fois et supérieure à 5 km dans la journée selon le Dr G______ et pas de course rapide et de montée répétitive d'échafaudages et d'échelles avec des charges lourdes selon la CRR). Or, le marché équilibré du travail offre la possibilité d'exercer des activités légères ou alternées (arrêts du Tribunal fédéral 8C_391/2014 du 9 juillet 2014 consid. 4 ; 8C_606/2012 du 3 décembre 2012 consid. 3.5 ; 8C_299/2010 du 23 juillet 2010 consid. 4.3 [volet AI] et 8C_300/2010 du 23 juillet 2010 consid. 4.2 [volet AA] ; I 761/01 du 18 octobre 2002 consid. 2.5), de sorte que, même à tenir compte de limitations fonctionnelles pour les atteintes à la cuisse gauche du recourant telles que décrites par le Dr G______, celles-ci ne sont pas de nature à modifier la conclusion du Dr F______ quant à sa capacité de travail. Il convient par ailleurs de souligner que le Dr E______, médecin-traitant du recourant, avait levé les arrêts de travail délivrés pour le membre inférieur gauche dès le 1 er août 2019.</w:t>
      </w:r>
    </w:p>
    <w:p>
      <w:r>
        <w:rPr>
          <w:b/>
        </w:rPr>
        <w:t>E. 18.5</w:t>
      </w:r>
    </w:p>
    <w:p>
      <w:r>
        <w:t>Ainsi, le taux de capacité de travail du recourant dans une activité adaptée déterminé par l'intimée (100% sans diminution de rendement) apparaît conforme au droit. ![endif]&gt;![if&gt;</w:t>
      </w:r>
    </w:p>
    <w:p>
      <w:r>
        <w:rPr>
          <w:b/>
        </w:rPr>
        <w:t>E. 19</w:t>
      </w:r>
    </w:p>
    <w:p>
      <w:r>
        <w:t>Il convient à présent de déterminer si le calcul de l'invalidité opéré par l'intimée est correct.![endif]&gt;![if&gt;</w:t>
      </w:r>
    </w:p>
    <w:p>
      <w:r>
        <w:rPr>
          <w:b/>
        </w:rPr>
        <w:t>E. 19.1</w:t>
      </w:r>
    </w:p>
    <w:p>
      <w:r>
        <w:t>À cet égard, il sied de rappeler que la rente allouée par l'intimée est une rente transitoire de l'assurance-accident, au sens de l'art. 30 OLAA. Par conséquent, il est nécessaire de déterminer de quelle manière doit être appliquée la méthode générale de comparaison des revenus, en particulier de dire si l'invalidité doit être fixée sur la base de l'incapacité de travail dans l'ancienne profession. La question paraît pertinente en l'occurrence puisque le recourant a maintenu une activité auprès de son ancienne employeuse, avec un cahier des charges modifié (cf. attestation de l'employeuse du 4 novembre 2022).![endif]&gt;![if&gt; Malgré la continuation d'une activité auprès de l'ancienne employeuse, il n'apparaît pas justifié de s'éloigner de la méthode générale de comparaison des revenus, dans la mesure où il ne résulte pas du dossier – et le recourant ne l'allègue pas – que les mesures de réadaptation devant être mises en place par l'OAI lui permettront de conserver son emploi auprès de son employeuse. L'OAI a en effet accordé une mesure d'orientation professionnelle en faveur du recourant, qui a été reportée à sa demande, et dont on ignore si elle a aujourd'hui été réalisée. Quoi qu'il en soit, l'orientation professionnelle, au sens de l'art. 15 al. 2 de la loi fédérale sur l’assurance-invalidité du 19 juin 1959 (LAI - RS 831.20) est une mesure de réadaptation d'ordre professionnel qui doit permettre aux personnes assurées qui ont déjà achevé une formation ou qui possèdent une longue expérience professionnelle de bénéficier d'un examen approfondi de professions possibles (Circulaire sur les mesures de réadaptation professionnelle de l’AI (CMRPr) de l'office fédéral des assurances sociales, état au 1 er janvier 2023, n° 1002). L'objectif de la mesure est que les personnes assurées identifient des activités professionnelles qui correspondent à leur âge, leur niveau de développement, leurs aptitudes et leurs intérêts, et qu’elles sont en mesure de suivre (CMRPr, p. 95 ab initio ). Cette mesure vise donc à ce que l'assuré soit en mesure de se déterminer au mieux dans le choix d'une nouvelle profession, et ne vise pas à sa réintégration auprès de l'ancien employeur. Il ne résulte pas non plus de l'attestation de l'employeuse du 4 novembre 2022 que le maintien du poste du recourant soit conditionné au succès des mesures de réadaptation et on peut au contraire conclure de cette attestation que celle-ci souhaite continuer d'offrir du travail à son employé en raison des longs rapports de service l'unissant à ce dernier et de ses compétences, malgré son handicap.</w:t>
      </w:r>
    </w:p>
    <w:p>
      <w:r>
        <w:rPr>
          <w:b/>
        </w:rPr>
        <w:t>E. 19.2</w:t>
      </w:r>
    </w:p>
    <w:p>
      <w:r>
        <w:t>Dans son recours, le recourant ne soutient plus expressément que le revenu avec invalidité devrait faire l'objet d'un abattement, grief qu'il avait soulevé dans son opposition. Cependant, le juge applique le droit d’office (Jean METRAL in Commentaire romand, Loi sur la partie générale des assurances sociales, 2018, n. 74 ad. art. 61 LPGA), et il n’est pas lié par les conclusions des parties (art. 61 let. d LPGA). Le point de savoir s'il y a lieu de procéder à un abattement sur le salaire statistique en raison de circonstances particulières (liées au handicap de la personne ou à d'autres facteurs) est par ailleurs une question de droit (ATF 142 V 178 consid. 2.5.9 ; 137 V 71 consid. 5.1). Il y donc lieu de vérifier si c'est à juste titre qu'aucun abattement n'a été accordé par l'intimée.![endif]&gt;![if&gt;</w:t>
      </w:r>
    </w:p>
    <w:p>
      <w:r>
        <w:rPr>
          <w:b/>
        </w:rPr>
        <w:t>E. 19.2.1</w:t>
      </w:r>
    </w:p>
    <w:p>
      <w:r>
        <w:t>De jurisprudence constante, un abattement n'entre en considération que si, dans un marché du travail équilibré, il n'y a plus un éventail suffisamment large d'activités accessibles à l'assuré (arrêts du Tribunal fédéral 8C_659/2021 du 17 février 2022 consid. 4.3.1 ; 8C_122/2019 du 10 septembre 2019 consid. 4.3.1.4 ; 8C 174/2019 du 9 juillet 2019 consid. 5.2.2 et les arrêts cités). De plus, au regard des activités physiques ou manuelles simples que recouvrent les secteurs de la production et des services, un nombre suffisant d'entre elles correspondent à des travaux légers ne nécessitant pas le port régulier de charges ou de mouvement répétitif de flexion-extension, comme en particulier les activités de contrôle et de surveillance ( 8C_122/2019 du 10 septembre 2019 consid. 4.3.1.4). ![endif]&gt;![if&gt; S'agissant d'atteintes au membre inférieur, dans un cas où la personne assurée devait alterner les positions assises et debout, éviter le port de charges supérieures à 10-15 kg de manière répétée, ne pas monter sur des échelles et ne pas se déplacer de manière prolongée, surtout en terrain irrégulier, le Tribunal fédéral a annulé le jugement cantonal ayant accordé un abattement de 15%, relevant que de telles limitations fonctionnelles n'étaient pas susceptibles d'influencer les perspectives salariales, au regard des activités physiques ou manuelles simples que recouvrent les secteurs de la production et des services (arrêt du Tribunal fédéral 8C_659/2021 du 17 février 2022 consid. 4). Dans un autre cas où la personne assurée se déplaçait en cannes anglaises, devait impérativement travailler en position assise avec la jambe droite allongée et ne pouvait transporter aucune charge, même minime, notre Haute Cour a confirmé un abattement de 10% (arrêt du Tribunal fédéral 8C_800/2015 du 7 juillet 2016 consid. 3.4).</w:t>
      </w:r>
    </w:p>
    <w:p>
      <w:r>
        <w:rPr>
          <w:b/>
        </w:rPr>
        <w:t>E. 19.2.2</w:t>
      </w:r>
    </w:p>
    <w:p>
      <w:r>
        <w:t>En l'occurrence, les limitations fonctionnelles du recourant, même en tenant compte de celles de la cuisse gauche et de celles listées par le Dr G______, sont les suivantes : s'agissant de l'épaule droite, pas de port au-dessus de la taille avec les bras en avant de charges supérieures à 15 kg (respectivement 10 kg selon le Dr G______), pas d'activité répétitive au-dessus de la tête, pas d'utilisation d'outils lourds et/ou vibratoires nécessitant d'être maniés avec les deux mains, pas de travaux nécessitant une force importante de serrage et, s'agissant de la cuisse gauche, pas de course rapide et montée répétitive d'échafaudages et/ou échelles avec des charges lourdes (selon la CRR), respectivement, pas de position assise plus de deux heures, alternance des positions assis/debout/marche, pas de trajet de plus de 1 km à la fois et de plus de 5 km par jour (selon le Dr G______).![endif]&gt;![if&gt; De telles limitations sont compatibles avec le marché équilibré du travail qui propose suffisamment de postes légers, permettant l'alternance des positions, et ne nécessitant pas de déplacements. Le cas n'apparaît en particulier pas similaire à celui de la personne assurée devant se déplacer avec des cannes anglaises et devant travailler avec la jambe étendue, qui avait justifié un abattement de 10%.</w:t>
      </w:r>
    </w:p>
    <w:p>
      <w:r>
        <w:rPr>
          <w:b/>
        </w:rPr>
        <w:t>E. 19.3</w:t>
      </w:r>
    </w:p>
    <w:p>
      <w:r>
        <w:t>Au surplus, le reste du calcul de l'invalidité du recourant opéré par l'intimée doit être approuvé. ![endif]&gt;![if&gt; L'activité lucrative que celui-ci a reprise auprès de son ancienne employeuse, pour autant qu'elle soit réellement adaptée à ses limitations fonctionnelles, ne met en effet pas pleinement à profit sa capacité de travail résiduelle car elle n'est exercée qu'à 50%, de sorte que le revenu avec invalidité doit bel et bien être fondé sur les statistiques de l'ESS. Par ailleurs, l'intimée a appliqué les bonnes données statistiques (tableau TA1_tirage_skill_level pour l'année 2018, celui de l'année 2020 n'ayant pas encore été publié lors du prononcé de la décision litigieuse, niveau de compétence 1), a procédé à une correcte indexation de ce salaire jusqu'à l'année 2021 et tenu compte de l'horaire normal de travail.</w:t>
      </w:r>
    </w:p>
    <w:p>
      <w:r>
        <w:rPr>
          <w:b/>
        </w:rPr>
        <w:t>E. 20</w:t>
      </w:r>
    </w:p>
    <w:p>
      <w:r>
        <w:t>Enfin, le recourant conteste le taux d'IPAI qui lui a été accordé (10%).![endif]&gt;![if&gt; Il ne fournit cependant aucune pièce médicale à l'appui de sa contestation et, sur une question essentiellement médicale, il n'y a aucune raison de s'éloigner de l'appréciation du médecin d'arrondissement, étant relevé que, comme déjà vu (cf. consid. 16), l'argument du recourant selon lequel ce médecin aurait omis la lésion des ischio-jambiers dans le cadre de l'analyse de l'IPAI est infondé. Au demeurant, le complément d'information fourni par le Dr F______ dans son appréciation médicale du 12 décembre 2022 expliquant pour quelles raisons l'atteinte au membre inférieur gauche n'est pas importante apparaît convaincante. Il sied en outre de souligner qu'une atteinte aux ischio-jambiers ne donne pas droit, ni selon l'annexe 3 de l'OLAA, ni selon la table 2 de la SUVA, à une indemnité. Quant à l'évaluation de l'atteinte à l'épaule droite, au vu du type d'atteinte durable dont souffre le recourant, il n'y a pas non plus de motifs de s'éloigner de l'appréciation du Dr F______. Il convient donc d'appliquer par analogie l'indemnité prévue en cas de périarthrite scapulo-humérale moyenne, laquelle se monte effectivement à 10% selon la table 1 de la SUVA. Le grief est ainsi infondé.</w:t>
      </w:r>
    </w:p>
    <w:p>
      <w:r>
        <w:rPr>
          <w:b/>
        </w:rPr>
        <w:t>E. 21</w:t>
      </w:r>
    </w:p>
    <w:p>
      <w:r>
        <w:t>Au vu de ce qui précède, le recours sera rejeté et la décision du 19 mai 2022 sera confirmée.![endif]&gt;![if&gt;</w:t>
      </w:r>
    </w:p>
    <w:p>
      <w:r>
        <w:rPr>
          <w:b/>
        </w:rPr>
        <w:t>E. 22</w:t>
      </w:r>
    </w:p>
    <w:p>
      <w:r>
        <w:t>Le recourant, qui succombe, n'a pas droit à des dépens (art. 61 let. g LPGA a contrario ).![endif]&gt;![if&gt; L'intimée, représentée et qui obtient gain de cause, a conclu à l’octroi de dépens. Toutefois, étant une organisation chargée de tâches de droit public (ATF 112 V 44 consid. 3), et compte tenu du fait que le recours n'est ni téméraire ni ne témoigne de légèreté, elle n’a pas droit à des dépens (ATF 126 V 143 consid. 4).</w:t>
      </w:r>
    </w:p>
    <w:p>
      <w:r>
        <w:rPr>
          <w:b/>
        </w:rPr>
        <w:t>E. 23</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