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A/2017/2009 vom 3. Juni 2009</w:t>
      </w:r>
    </w:p>
    <w:p>
      <w:r>
        <w:t>GE Cour de justice, 2009-06-03, FR</w:t>
      </w:r>
    </w:p>
    <w:p>
      <w:r>
        <w:rPr>
          <w:b/>
        </w:rPr>
        <w:t xml:space="preserve">Quelle: </w:t>
      </w:r>
      <w:r>
        <w:t>https://mcp.opencaselaw.ch/entscheid/ge_gerichte_A_2017_2009</w:t>
      </w:r>
    </w:p>
    <w:p>
      <w:r>
        <w:t>FR: GE_GERICHTE A/2017/2009 du 3 juin 2009</w:t>
      </w:r>
    </w:p>
    <w:p>
      <w:r>
        <w:t>IT: GE_GERICHTE A/2017/2009 del 3 giugno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29.07.2009 A/2017/2009</w:t>
      </w:r>
    </w:p>
    <w:p>
      <w:r>
        <w:t>A/2017/2009 ATAS/971/2009 du 29.07.2009 ( AI ) , RETIRE RÉPUBLIQUE ET CANTON DE GENÈVE POUVOIR JUDICIAIRE A/2017/2009 ATAS/971/2009 ARRET DU TRIBUNAL CANTONAL DES ASSURANCES SOCIALES Chambre 1 du 29 juillet 2009 En la cause Monsieur P_________, domicilié à Confignon, représenté par FORUM SANTE, Mme Q_________ recourant contre OFFICE CANTONAL DE L'ASSURANCE-INVALIDITE, sis rue de Lyon 97, Genève intimé Attendu en fait que Monsieur P_________, en Suisse depuis décembre 1993, a déposé une demande de prestations auprès de l'OFFICE CANTONAL DE L'ASSURANCE-INVALIDITE (ci-après OCAI) en novembre 2004 ; Que par décision du 3 juin 2009, l'OCAI a rejeté sa demande, au motif que les conditions d'assurance n'étaient pas réalisées ; Que l'intéressé, représenté par Madame Q_________ de FORUM SANTE, a interjeté recours le 9 juin 2009 contre ladite décision ; Qu'il a cependant, par courrier du 23 juin 2009, déclaré le retirer ; 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 ; Que sa compétence pour juger du cas d’espèce est ainsi établie ; Que le recours a été retiré ; Qu’il convient d’en prendre acte et de rayer la cause du rôle ; PAR CES MOTIFS, LE TRIBUNAL CANTONAL DES ASSURANCES SOCIALES : Statuant A la forme : Déclare le recours recevable. Au fond : Prend acte du retrait du recours. Raye la cause du rôle. Renonce à percevoir un émolument. La greffière Marie-Louise QUELOZ La Présidente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