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A/2016/2012 vom 29. April 2014</w:t>
      </w:r>
    </w:p>
    <w:p>
      <w:r>
        <w:t>GE Cour de justice, 2014-04-29, FR</w:t>
      </w:r>
    </w:p>
    <w:p>
      <w:r>
        <w:rPr>
          <w:b/>
        </w:rPr>
        <w:t xml:space="preserve">Quelle: </w:t>
      </w:r>
      <w:r>
        <w:t>https://mcp.opencaselaw.ch/entscheid/ge_gerichte_A_2016_2012</w:t>
      </w:r>
    </w:p>
    <w:p>
      <w:r>
        <w:t>FR: GE_GERICHTE A/2016/2012 du 29 avril 2014</w:t>
      </w:r>
    </w:p>
    <w:p>
      <w:r>
        <w:t>IT: GE_GERICHTE A/2016/2012 del 29 aprile 2014</w:t>
      </w:r>
    </w:p>
    <w:p>
      <w:pPr>
        <w:pStyle w:val="Heading2"/>
      </w:pPr>
      <w:r>
        <w:t>Erwägungen</w:t>
      </w:r>
    </w:p>
    <w:p>
      <w:r>
        <w:rPr>
          <w:b/>
        </w:rPr>
        <w:t>E. 1</w:t>
      </w:r>
    </w:p>
    <w:p>
      <w:r>
        <w:t>ère section dans la cause Madame A______ contre ADMINISTRATION FISCALE CANTONALE et ADMINISTRATION FÉDÉRALE DES CONTRIBUTIONS _________ Recours contre le jugement du Tribunal administratif de première instance du 31 août 2012 ( JTAPI/1016/2012 ) EN FAIT 1) Par décision sur réclamation du 24 mai 2012, l’administration fiscale cantonale (ci-après : AFC) a déclaré irrecevable la réclamation formée par Madame A______, contribuable dans le canton de Genève, le 16 mai 2010 contre le bordereau d’impôt concernant l’année fiscale 2009, remis le 1 er septembre 2010. ![endif]&gt;![if&gt; Cette réclamation était tardive. 2) Le 21 juin 2010, Mme A______ a saisi le Tribunal administratif de première instance (ci-après : TAPI) d’un recours contre la décision précité. ![endif]&gt;![if&gt; 3) Le 4 juillet 2012, le TAPI a demandé à la recourante d’effectuer une avance de frais de CHF 300.- avant le 3 août 2012, à défaut de quoi son recours serait déclaré irrecevable. ![endif]&gt;![if&gt; Non retiré, ce pli recommandé a été retourné au TAPI par la poste. 4) Par jugement du 31 août 2012, le TAPI a déclaré le recours irrecevable, vu le défaut de l’avancement de frais. ![endif]&gt;![if&gt; 5) Le 6 décembre 2012, Mme A______ s’est adressée au TAPI. Elle n’avait pas reçu la demande d’avance de frais car elle n’avait pas accès à sa boîte aux lettres dont elle avait perdu la clé. Au surplus, elle demandait l’annulation de la taxation d’office concernant l’année 2009, au vu de sa situation, qu’elle décrivait. ![endif]&gt;![if&gt; 6) L’intéressée ayant confirmé au TAPI que son acte du 6 décembre 2012 devait être considéré comme un recours contre le jugement du 31 août 2012, le TAPI l’a transmis à la chambre administrative de la Cour de justice (ci-après : la chambre administrative), par jugement sur compétence du 4 mars 2013. ![endif]&gt;![if&gt; 7) Le 14 mai 2013, Mme A______ a transmis un certificat médical du Docteur B______, psychiatre et psychothérapeute. Ce praticien certifiait que l’intéressée subissait « depuis de nombreuses années de sévères atteintes à sa santé ». Elle n’avait pas été capable durant la période d’août 2012 à fin 2012 d’effectuer des tâches administratives.![endif]&gt;![if&gt; 8) Le recours ainsi que le certificat médical ont été transmis, pour information à l’AFC, et les parties ont été informées que la cause était gardée à juger le 27 mai 2013.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5.1).![endif]&gt;![if&gt; La procédure administrative genevoise prévoit que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Les juridictions administratives disposent ainsi d'une grande liberté d’organiser la mise en pratique de cette disposition. Elles peuvent choisir d’envoyer la demande d’avance de frais d’entrée de cause par pli recommandé ( ATA/280/2012 du 8 mai 2012 consid. 2 ; ATA/594/2009 du 17 novembre 2009). 3) S’agissant d’un acte soumis à réception, telle une communication de procédure, la notification est réputée faite au moment où l’envoi entre dans la sphère de pouvoir de son destinataire (P.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![endif]&gt;![if&gt; 4) En l'espèce, l’avance de frais n’a pas été versée dans le délai, bien que la demande ait été envoyée par le TAPI par pli recommandé à l'adresse de la recourante.![endif]&gt;![if&gt; Ladite demande a par ailleurs été valablement notifiée, Mme A______ n'ayant pas fourni d'éléments ou de preuves permettant d’infirmer la règle jurisprudentielle voulant qu’une décision est notifiée valablement à un administré à l’échéance du délai de garde de sept jours du pli recommandé par la poste, notamment lorsqu’il sait qu’une procédure à laquelle il est partie est en cours (ATF 127 I 31 consid. 2a ; ATA/156/2013 du 7 mars 2013). Le certificat médical transmis à la chambre administrative concerne la période allant du mois d'août 2012 à la fin de l'année en question, alors que le courrier recommandé réclamant le versement de l'avance de frais n'a pas été retiré au mois de juillet 2012. Le TAPI n'a dès lors pas commis de formalisme excessif en déclarant le recours irrecevable. 5) Mal fondé, le recours sera rejeté. Un émolument de CHF 400.- sera mis à la charge de la recourante, qui succombe (art. 87 al. 1 LPA). Aucune indemnité de procédure ne lui sera allouée vu l'issue du litige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