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A/2012/2023 vom 23. Januar 2024</w:t>
      </w:r>
    </w:p>
    <w:p>
      <w:r>
        <w:t>GE Cour de justice, 2024-01-23, FR</w:t>
      </w:r>
    </w:p>
    <w:p>
      <w:r>
        <w:rPr>
          <w:b/>
        </w:rPr>
        <w:t xml:space="preserve">Quelle: </w:t>
      </w:r>
      <w:r>
        <w:t>https://mcp.opencaselaw.ch/entscheid/ge_gerichte_A_2012_2023</w:t>
      </w:r>
    </w:p>
    <w:p>
      <w:r>
        <w:t>FR: GE_GERICHTE A/2012/2023 du 23 janvier 2024</w:t>
      </w:r>
    </w:p>
    <w:p>
      <w:r>
        <w:t>IT: GE_GERICHTE A/2012/2023 del 23 gennaio 2024</w:t>
      </w:r>
    </w:p>
    <w:p>
      <w:pPr>
        <w:pStyle w:val="Heading2"/>
      </w:pPr>
      <w:r>
        <w:t>Regeste</w:t>
      </w:r>
    </w:p>
    <w:p>
      <w:r>
        <w:t>TAXI;AUTORISATION D'EXPLOITER UN SERVICE DE TAXI;POUVOIR D'APPRÉCIATION;PROPORTIONNALITÉ;LIBERTÉ ÉCONOMIQUE | Annulation de la révocation d’une carte professionnelle de chauffeur de voiture de transport avec chauffeur prononcée par le PCTN faisant suite à une décision de retrait de permis de conduire en raison d’une infraction moyennement grave au règles de la circulation routière prononcée par l’OCV. En l’espèce, excès négatif du pouvoir d’appréciation, l’autorité intimée soutenant n’avoir aucun pouvoir d’appréciation contrairement à l’interprétation des dispositions concernées faite par la chambre administrative. Confirmation de sa jurisprudence après examen du pouvoir d’appréciation conféré au PCTN par la loi et le règlement. La pratique de l’autorité intimée est contraire à la loi, elle ne pouvait se fonder sur la condamnation de l’OCV pour révoquer son autorisation d’exercer sans examiner si celle-ci était effectivement incompatible avec l’exercice de la profession de chauffeur dans les circonstances d’espèce. | Cst.29.al2; Cst.36; LTVTC.1; LTVTC.3; LTVTC.7.al3.lete; LTVTC.7.al5</w:t>
      </w:r>
    </w:p>
    <w:p>
      <w:pPr>
        <w:pStyle w:val="Heading2"/>
      </w:pPr>
      <w:r>
        <w:t>Erwägungen</w:t>
      </w:r>
    </w:p>
    <w:p>
      <w:r>
        <w:rPr>
          <w:b/>
        </w:rPr>
        <w:t>E. 5</w:t>
      </w:r>
    </w:p>
    <w:p>
      <w:r>
        <w:t>En l’espèce, dans sa décision, le PCTN mentionne uniquement que le recourant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w:t>
      </w:r>
    </w:p>
    <w:p>
      <w:r>
        <w:rPr>
          <w:b/>
        </w:rPr>
        <w:t>E. 6</w:t>
      </w:r>
    </w:p>
    <w:p>
      <w:r>
        <w:t>Au vu de ce qui précède, le recours sera admis partiellement. Vu cette issue, aucun émolument ne sera perçu (art. 87 al. 1 LPA). Une indemnité de procédure de CHF 1'000.-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