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A/2007/2007 vom 8. April 2008</w:t>
      </w:r>
    </w:p>
    <w:p>
      <w:r>
        <w:t>GE Cour de justice, 2008-04-08, FR</w:t>
      </w:r>
    </w:p>
    <w:p>
      <w:r>
        <w:rPr>
          <w:b/>
        </w:rPr>
        <w:t xml:space="preserve">Quelle: </w:t>
      </w:r>
      <w:r>
        <w:t>https://mcp.opencaselaw.ch/entscheid/ge_gerichte_A_2007_2007</w:t>
      </w:r>
    </w:p>
    <w:p>
      <w:r>
        <w:t>FR: GE_GERICHTE A/2007/2007 du 8 avril 2008</w:t>
      </w:r>
    </w:p>
    <w:p>
      <w:r>
        <w:t>IT: GE_GERICHTE A/2007/2007 del 8 aprile 2008</w:t>
      </w:r>
    </w:p>
    <w:p>
      <w:pPr>
        <w:pStyle w:val="Heading2"/>
      </w:pPr>
      <w:r>
        <w:t>Erwägungen</w:t>
      </w:r>
    </w:p>
    <w:p>
      <w:r>
        <w:rPr>
          <w:b/>
        </w:rPr>
        <w:t>E. 10</w:t>
      </w:r>
    </w:p>
    <w:p>
      <w:r>
        <w:t>Reste à déterminer le degré d'invalidité de l'assurée.</w:t>
      </w:r>
    </w:p>
    <w:p>
      <w:r>
        <w:rPr>
          <w:b/>
        </w:rPr>
        <w:t>E. 11</w:t>
      </w:r>
    </w:p>
    <w:p>
      <w:r>
        <w:t>Selon l'art. 28 al. 1 LAI dans sa teneur en vigueur jusqu'au 31 décembre 2003,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A titre préalable, il faut examiner quelle méthode d'évaluation de l’invalidité il convient d'appliquer (art. 28 LAI, en corrélation avec les art. 27ss RAI). Le choix de la méthode d'évaluation de l'invalidité (méthode générale de comparaison des revenus, méthode mixte, méthode spécifique) dépend du statut du bénéficiaire potentiel de la rente : assuré exerçant une activité lucrative à temps complet, assuré exerçant une activité lucrative à temps partiel, assuré non actif.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w:t>
      </w:r>
    </w:p>
    <w:p>
      <w:r>
        <w:rPr>
          <w:b/>
        </w:rPr>
        <w:t>E. 12</w:t>
      </w:r>
    </w:p>
    <w:p>
      <w:r>
        <w:t>En l'espèce, l'OCAI a considéré que l'assurée aurait exercé, sans l'atteinte à la santé, une activité lucrative partielle, à raison de 13 heures par semaine, ce qui n'est pas contesté. Le calcul du degré d'invalidité a dès lors été établi sur la base de la comparaison des revenus pour la part qui aurait été consacrée à une activité lucrative, d'une part, et de l'empêchement à accomplir les travaux ménagers, pour la part de non-active, d'autre part. Dans ses écritures du 18 janvier 2008, l'OCAI a repris le calcul du degré d'invalidité sur la base d'une incapacité de travail de 50%. Le calcul auquel il a procédé, s'agissant de la comparaison des revenus, est conforme aux dispositions légales et réglementaires applicables, ainsi qu'à la jurisprudence du TFA. De l'enquête ménagère réalisée le 7 novembre 2006, il résulte un degré d'empêchement à accomplir les travaux habituels de 6%. L'assurée conteste le résultat obtenu, sans toutefois expliquer quel poste devrait être modifié et pour quel motif. Il y a à cet égard lieu de rappeler que l'enquêtrice a tenu compte de l'aide que peut apporter l'époux, rentier AI, mais ne souffrant pas d'une pathologie lourde. Force dès lors est de confirmer le degré d'invalidité finalement retenu par l'OCAI, de 19%, degré ne justifiant ni l'octroi d'une rente, ni la prise en charge de mesures de réadaptation professionnelle.</w:t>
      </w:r>
    </w:p>
    <w:p>
      <w:r>
        <w:rPr>
          <w:b/>
        </w:rPr>
        <w:t>E. 13</w:t>
      </w:r>
    </w:p>
    <w:p>
      <w:r>
        <w:t>Aussi le recours doit-il être rejeté, étant à nouveau rappelé que, sur demande motivée à déposer auprès de l'OCAI, l'assurée pourra être mise au bénéfice d'une aide au placement.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