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A/2004/2020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https://mcp.opencaselaw.ch/entscheid/ge_gerichte_A_2004_2020</w:t>
      </w:r>
    </w:p>
    <w:p>
      <w:r>
        <w:t>FR: GE_GERICHTE A/2004/2020 du 13 août 2020</w:t>
      </w:r>
    </w:p>
    <w:p>
      <w:r>
        <w:t>IT: GE_GERICHTE A/2004/2020 del 13 agosto 2020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13.08.2020 A/2004/2020</w:t>
      </w:r>
    </w:p>
    <w:p>
      <w:r>
        <w:t>A/2004/2020 ATAS/658/2020 du 13.08.2020 ( CHOMAG ) , RETIRE rÉpublique et canton de genÈve POUVOIR JUDICIAIRE A/2004/2020 ATAS/658/2020 COUR DE JUSTICE Chambre des assurances sociales Arrêt du 13 août 2020 3 ème Chambre En la cause A______ SÀRL, sise à MEYRIN recourante contre OFFICE CANTONAL DE L'EMPLOI, Service juridique, sis rue des Gares 16, GENÈVE intimé Vu la décision sur opposition du 9 juin 2020 ; Vu le recours du 7 juillet 2020 ; Attendu que par écriture du 28 juillet 2020, la recourante a indiqué retirer son recours ; Qu'il convient d'en prendre acte et de rayer la cause du rôle. PAR CES MOTIFS, LA CHAMBRE DES ASSURANCES SOCIALES : 1.        Prend acte du retrait du recours. 2.        Raye la cause du rôle.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