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A/2001/2004 vom 17. November 2005</w:t>
      </w:r>
    </w:p>
    <w:p>
      <w:r>
        <w:t>GE Cour de justice, 2005-11-17, FR</w:t>
      </w:r>
    </w:p>
    <w:p>
      <w:r>
        <w:rPr>
          <w:b/>
        </w:rPr>
        <w:t xml:space="preserve">Quelle: </w:t>
      </w:r>
      <w:r>
        <w:t>https://mcp.opencaselaw.ch/entscheid/ge_gerichte_A_2001_2004</w:t>
      </w:r>
    </w:p>
    <w:p>
      <w:r>
        <w:t>FR: GE_GERICHTE A/2001/2004 du 17 novembre 2005</w:t>
      </w:r>
    </w:p>
    <w:p>
      <w:r>
        <w:t>IT: GE_GERICHTE A/2001/2004 del 17 novembre 2005</w:t>
      </w:r>
    </w:p>
    <w:p>
      <w:pPr>
        <w:pStyle w:val="Heading2"/>
      </w:pPr>
      <w:r>
        <w:t>Regeste</w:t>
      </w:r>
    </w:p>
    <w:p>
      <w:r>
        <w:t>; LOI FÉDÉRALE SUR L'ASSURANCE-MALADIE ; TRAITEMENT À L'ÉTRANGER ; TRAITEMENT(EN GÉNÉRAL) ; SOINS MÉDICAUX ; EFFICACITÉ ; REMBOURSEMENT DE FRAIS(ASSURANCE)</w:t>
      </w:r>
    </w:p>
    <w:p>
      <w:pPr>
        <w:pStyle w:val="Heading2"/>
      </w:pPr>
      <w:r>
        <w:t>Erwägungen</w:t>
      </w:r>
    </w:p>
    <w:p>
      <w:r>
        <w:rPr>
          <w:b/>
        </w:rPr>
        <w:t>E. 3</w:t>
      </w:r>
    </w:p>
    <w:p>
      <w:r>
        <w:t>Il convient tout d'abord de préciser que les écritures transmises par l'intimée le 21 septembre 2005 ont été écartées de la procédure, au motif qu'elles n'amenaient aucun élément nouveau qui n'ait déjà été soulevé par la caisse-maladie. Le Tribunal de céans constate que la demande de l’assurée basée sur la LCA doit être rejetée. En effet, depuis l’entrée en vigueur de la LAMal, le 1 er janvier 1996, les assurances complémentaires à l’assurance-maladie sociale au sens de cette loi sont soumises au droit privé, plus particulièrement à la LCA (art. 12 al. 3 LAMal ;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(ATFA non publié du 6 mars 2001 en la cause 5C 263/2000). Or, les conditions particulières de l’assurance combinée d’hospitalisation - édition janvier 1997 - (CPA) de la caisse-maladie prévoient uniquement la couverture des frais d’hospitalisation en division privée d’un établissement hospitalier dans le monde entier en soins généraux ou psychiatriques pour les malades de type aigu, lorsque l’assuré tombe malade ou est victime d’un accident à l’étranger et qu’il est hospitalisé. Sauf accord préalable de l’assureur, les traitements volontaires à l’étranger ne sont pas pris en charge (art. 2 et 6 CPA). Or, il s’agit bien en l’occurrence d’un traitement volontaire à l’étranger, puisque la demanderesse s’est rendue à Milan dans le but de s’y faire soigner. Ainsi, en l’absence d’accord préalable, elle n’a pas droit au remboursement des frais liés à ce traitement sur la base de son assurance complémentaire privée.</w:t>
      </w:r>
    </w:p>
    <w:p>
      <w:r>
        <w:rPr>
          <w:b/>
        </w:rPr>
        <w:t>E. 5</w:t>
      </w:r>
    </w:p>
    <w:p>
      <w:r>
        <w:t>La LAMal régit l’assurance-maladie sociale, qui comprend l’assurance obligatoire des soins et une assurance facultative d’indemnités journalières (art. 1a al. 1 LAMal). Selon l’art. 34 al. 2 LAMal, le Conseil fédéral peut décider de la prise en charge, par l’assurance obligatoire des soins, des coûts des prestations prévus aux art. 25 al. 2 (prestations générales en cas de maladie) ou 29 (maternité) LAMal fournies à l’étranger pour des raisons médicales (1 ère phrase) et peut limiter cette prise en charge (3 ème phrase). Se fondant sur cette délégation de compétence, l’autorité exécutive a édicté l’art. 36 de l’ordonnance sur l’assurance-maladie du 27 juin 1995 (OAMal), intitulé « prestations à l’étranger ». Selon l’al. 1 er de cette disposition, le Département fédéral de l’intérieur (ci-après DFI) désigne, après avoir consulté la commission compétente, les prestations prévues aux art. 25 al. 2 et 29 LAMal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opération qui n’était pas réalisable en pratique (ATF 128 V 76 sous let. d). Dans l’arrêt cité aux ATF 128 V 75 , le TFA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puissent réellement pas être fournie en Suisse et d’autre part que les critères d’efficacité et d’économicité soient également pris en compte (ATF 128 V 80 consid. 4). Les prestations mentionnées à l'art. 25 LAMal doivent ainsi, pour être prises en charge par l’assurance obligatoire des soins,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traitements efficaces et appropriées entrent en ligne de compte pour combattre une maladie (ATF 127 V 146 consid. 5; RAMA 2004 n° KV 272 p. 111 consid. 3.1.2).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(RAMA 2004 n° KV 253 p. 231 consid. 2). Il s’agira, en règle ordinaire, de traitements qui requièrent une technique hautement spécialisée ou de traitements complexes de maladies rares pour lesquels, en raison précisément de cette rareté, on ne dispose pas en Suisse d’une expérience diagnostique ou thérapeutique suffisante (G. EUGSTER, Krankenversicherung in : Schweizeriches Bundesvervaltungsrecht [SBVR], Soziale Sicherheit, n° 180).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p. 231 consid. 2 ; ATFA non publié du 19 août 2005 en la cause K 78/05). Une interprétation stricte des raisons médicales doit être de mise (cf. G. LONGCHAMP, Conditions et étendue du droit aux prestations de l’assurance-maladie sociale, thèse, Berne 2004, page 262 ; dans le même sens G. EUGSTER, op. cit. n° 180).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(cf. par analogie, s’agissant des impératifs susceptibles d’être invoqués pour justifier une entrave à la libre prestation des services dans l’Union Européenne en matière de soins hospitaliers : arrêt de la Cour de justice des communautés européennes [CJCE] du 13 mai 2003, MÜLLER-FAURE et VAN RIET, rec. 2003 I page 4509, points 72 ss et du 12 juillet 2001, SMITS et PEERBOOMS, rec. 2001 I page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 ATFA non publié du 19 août 2005 en la cause K 78/05). Enfin, il convient de relever que le TFA s'est prononcé en date du 19 août 2005 dans un arrêt non publié en la cause K 78/05 sur une affaire tout à fait similaire, refusant la prise en charge d'un traitement à l'étranger d'une tumeur par radiothérapie intra-opératoire, au motif que bien que cette méthode diminuât dans certaines circonstances le risque local de récidive et qu'elle n'ait pas été introduite aux HUG essentiellement pour des raison logistiques et financières, l'on ne pouvait admettre que le traitement en Suisse - dont le caractère approprié n'était pas discutable - comportaient des risques notablement plus élevés que le traitement litigieux; ainsi, le fait que la radiothérapie intra-opératoire fut un élément positif supplémentaire dans le traitement considéré dans son ensemble n'était pas suffisant au regard de la jurisprudence pour justifier sa prise en charge par l'assurance obligatoire de soins.</w:t>
      </w:r>
    </w:p>
    <w:p>
      <w:r>
        <w:rPr>
          <w:b/>
        </w:rPr>
        <w:t>E. 6</w:t>
      </w:r>
    </w:p>
    <w:p>
      <w:r>
        <w:t>En l’espèce, il ressort du dossier que le traitement du cancer du sein est pratiqué en Suisse sous la forme d’une excision de la tumeur, accompagnée d’une radiothérapie du sein sur quelques semaines (de trois à sept semaines), pour limiter les risques de récidives. Selon les deux spécialistes interrogés par le Tribunal de céans, le traitement pratiqué à Milan diffère de celui pratiqué en Suisse par le type de radiothérapie effectué, soit une radiothérapie intra-opératoire. Les deux types de traitements (avec radiothérapie intra-opératoire et avec radiothérapie classique) ont des résultats identiques au sens strict du terme. Il convient de relever que lors de la radiothérapie classique, la protection des organes n’est actuellement plus un problème du fait des nouvelles techniques. Les avantages de la méthode pratiquée à Milan sont notamment un gain de confort et de temps et moins de toxicité sur le sein (pas de brûlures ou d’altération de la texture cutanée). L’aspect psychologique est également important, puisque le traitement de Milan permet d’éviter une radiothérapie lourde sur plusieurs semaines. Quant à l’aspect financier, le traitement pratiqué à Milan est moins coûteux. Il semblerait en outre que le risque de récidive soit faible après un tel traitement, soit de 1,2%, alors qu’il est à situer dans une fourchette de 1 à 3% dans le cadre d’une radiothérapie conventionnelle. Par ailleurs, les deux spécialistes entendus ont relevé qu’en 2003, cette méthode de traitement ne se trouvait plus dans une phase expérimentale et que probablement, dans un avenir proche, elle deviendrait un standard en Suisse. S’agissant de la phase de recul optimal pour juger des avantages de la méthode pratiquée à Milan, les spécialistes estiment que dans le cas de tumeurs du sein, un recul de cinq ans est déjà raisonnable. Enfin, le traitement avec radiothérapie intra-opératoire n’est actuellement pas pratiqué en Suisse pour des raisons essentiellement logistiques et financières. L’on peut déduire de ces déclarations qu’il n’existait pas de raison médicale impérieuse pour que la patiente se fît traiter à Milan. En effet, il n’est en l’occurrence pas possible de retenir qu’un traitement en Suisse - dont le caractère approprié n’est pas discutable - comportait des risques notablement plus élevés que le traitement litigieux. L’on ne peut pas non plus retenir une différence sur le plan médical notable - notamment quant à l’efficacité - entre les deux types de traitements et les avantages invoqués dans le traitement de Milan, soit le confort de gain et de temps, l’aspect psychologique et la non-altération de la texture cutanée du sein ne sauraient justifier au regard de la jurisprudence susmentionnée la prise en charge dudit traitement par l'assurance obligatoire des soins. Il convient enfin de rappeler que le traitement standard du cancer du sein à Genève est parfaitement maîtrisé et que l’on dispose en Suisse d’une expérience thérapeutique largement suffisante pour traiter ces affections. De surcroît, les deux spécialistes cités comme témoins ont estimé qu’il n’y avait pas d’avantages, sur le plan médical au sens strict du terme, pour la méthode de Milan.</w:t>
      </w:r>
    </w:p>
    <w:p>
      <w:r>
        <w:rPr>
          <w:b/>
        </w:rPr>
        <w:t>E. 7</w:t>
      </w:r>
    </w:p>
    <w:p>
      <w:r>
        <w:t>Il découle de ce qui précède que le recours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