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 vom 2. Februar 2021</w:t>
      </w:r>
    </w:p>
    <w:p>
      <w:r>
        <w:t>GE Cour de justice, 2021-02-02, FR</w:t>
      </w:r>
    </w:p>
    <w:p>
      <w:r>
        <w:rPr>
          <w:b/>
        </w:rPr>
        <w:t xml:space="preserve">Quelle: </w:t>
      </w:r>
      <w:r>
        <w:t>https://mcp.opencaselaw.ch/entscheid/ge_gerichte_A_19_2020</w:t>
      </w:r>
    </w:p>
    <w:p>
      <w:r>
        <w:t>FR: GE_GERICHTE A/19/2020 du 2 février 2021</w:t>
      </w:r>
    </w:p>
    <w:p>
      <w:r>
        <w:t>IT: GE_GERICHTE A/19/2020 del 2 febbraio 2021</w:t>
      </w:r>
    </w:p>
    <w:p>
      <w:pPr>
        <w:pStyle w:val="Heading2"/>
      </w:pPr>
      <w:r>
        <w:t>Erwägungen</w:t>
      </w:r>
    </w:p>
    <w:p>
      <w:r>
        <w:rPr>
          <w:b/>
        </w:rPr>
        <w:t>E. 23</w:t>
      </w:r>
    </w:p>
    <w:p>
      <w:r>
        <w:t>mai 2019 dans le bureau qu'il partageait alors avec MM B______ et A______, que celle-ci leur avait demandé des justificatifs pour les notes de frais qu'ils avaient déposées. Il en avait lui-même déposé une concernant un autre contrôle externe. Ils avaient tous trois répondu qu'ils n'avaient pas d'autres justificatifs que ceux déposés. Elle leur avait alors demandé à plusieurs reprises d'appeler le restaurant afin qu'il leur envoie une facture détaillée avec tout ce qu'ils avaient consommé. Il avait trouvé cette demande étrange. Elle avait par ailleurs eu un échange un peu vif avec le recourant qui avait déclaré ne jamais avoir procédé comme cela auparavant. Lorsqu'elle lui avait précisé que la demande émanait de la direction, le recourant avait dit « vous êtes des malades ». En revanche, il n'avait pas dit « qu'est-ce qu'il veut ce con ». Le ton était monté entre les deux et la responsable RH était repartie, apparemment un peu choquée. Le recourant n'avait selon lui aucun problème d'alcool. Il estimait que sa consommation était modérée lorsqu'ils allaient ensemble au restaurant. Ils mangeaient presque tous les jours ensemble, et très souvent à la cafétéria laquelle ne servait pas d'alcool. 21) Dans sa réplique du 29 juillet 2020, le recourant a persisté dans les conclusions et termes de son recours. Le fait qu'il n'ait pas pu s'exprimer sur les faits reprochés en lien avec l'enregistrement des heures travaillées le 3 mai 2019, ce motif ayant été invoqué pour la première fois dans la décision du 21 novembre 2019, devait entraîner l'annulation de la décision litigieuse pour violation du droit d'être entendu. Les autres faits reprochés n'étaient soit pas établis soit ne violaient aucune disposition légale. M. B______ avait confirmé qu'ils s'étaient partagé un pot de rouge, soit 5dl de vin, ce qui ne constituait pas une quantité d'alcool déraisonnable. Il n'était au demeurant pas établi la quantité de vin que chaque convive avait consommé. Le MIOPE n'interdisait au demeurant pas, dans l'absolu, la consommation d'alcool, de sorte qu'il n'avait contrevenu à aucune disposition. Ses supposés problèmes d'alcool avaient par ailleurs été infirmés par ses deux collègues. Le témoignage de M. B______ confirmait par ailleurs qu'aucune information n'avait été à la vue ou à l'ouïe de tiers, de sorte que la confidentialité des données avait été respectée. L'insulte qu'il avait prétendument prononcée au sujet du directeur général n'avait pas été confirmée par les témoins.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a trait à la conformité au droit de la décision prononçant un blâme à l'encontre du recourant.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4) Dans un grief de nature formelle qu'il convient d'examiner en premier lieu, le recourant se plaint d'une violation de son droit d'être entendu au motif qu'il n'aurait pas pu s'exprimer sur les faits reprochés en lien avec l'enregistrement des heures travaillées le 3 mai 2019 avant que ne soit prononcé le blâme du 3 juin 2019, ce motif ayant été invoqué pour la première fois dans la décision du 21 novembre 2019. 5)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w:t>
      </w:r>
    </w:p>
    <w:p>
      <w:r>
        <w:rPr>
          <w:b/>
        </w:rPr>
        <w:t>E. 27</w:t>
      </w:r>
    </w:p>
    <w:p>
      <w:r>
        <w:t>juin 2019 consid. 4c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8C_257/2019 du 12 mai 2020 consid. 2.5 et les références citées), sous réserve que ledit vice ne revête pas un caractère de grande gravité (arrêts du Tribunal fédéral 8C_541/2017 du 14 mai 2018 consid. 2.5). c. À titre liminaire, il convient de relever que le recourant a, dans un premier temps, indiqué dans son acte de recours qu'il devait se prononcer sur le grief relatif à l'enregistrement des heures travaillées le 3 mai 2019 afin que la violation de son droit d'être entendu soit réparée, avant d'affirmer dans le cadre de sa réplique que cette violation devait entraîner l'annulation de la décision litigieuse. Ce n'est que dans le cadre de son recours hiérarchique du 26 juillet 2019 contre la décision de blâme du 19 juillet 2019 que le recourant a donné pour la première fois des informations précises sur ses heures de travail effectives durant la journée du 3 mai 2019. Il ne peut dès lors être reproché à l'autorité de ne pas avoir évoqué la problématique de l'enregistrement des heures travaillées avant le prononcé de la décision litigieuse. Le recourant a, par la suite, eu l'occasion de s'exprimer par écrit sur l'ensemble des griefs qui lui étaient reprochés devant la chambre de céans. Même à considérer l'existence d'une violation de son droit d'être entendu, ce vice ne serait en l'espèce pas suffisamment grave pour ne pas pouvoir être réparé devant la chambre administrative, compte tenu du libre pouvoir d'examen en fait et en droit qui est le sien. Partant, le grief d'une violation du droit d'être entendu sera écarté. 6) a. En tant que fonctionnaire, le recourant est soumis à la loi générale relative au personnel de l'administration cantonale, du pouvoir judiciaire et des établissements publics médicaux du 4 décembre 1997 (LPAC - B 5 05) et à son règlement d'application du 24 février 1999 (RPAC - B 5 05.01). b. Les devoirs du personnel sont énumérés aux art. 20 ss RPAC. Les membres du personnel sont ainsi tenus au respect de l'intérêt de l'État et doivent s'abstenir de tout ce qui peut lui porter préjudice (art. 20 RPAC). Selon l'art. 21 RPAC, ils doivent, par leur attitude, entretenir des relations dignes et correctes avec leurs supérieurs, leurs collègues et leurs subordonnés (let. a), établir des contacts empreints de compréhension et de tact avec le public (let. b) et justifier et renforcer la considération et la confiance dont la fonction publique doit être l'objet (let. c). Dans l'exécution de leur travail, ils se doivent de remplir tous les devoirs de leur fonction consciencieusement et avec diligence et respecter leur horaire de travail (art. 22 al. 1 et 2 RPAC). Par ailleurs, le membre du personnel doit jouir d'un état de santé lui permettant de remplir les devoirs de sa fonction (art. 5 al. 1 RPAC). Selon l'art. 9 du règlement fixant les débours, frais de représentation et de déplacement et autres dépenses en faveur du personnel de l'administration cantonale du 21 février 2007 (RDébours - B 5 15.24), si, lors d'un déplacement dans ou à l'extérieur du canton et par suite des exigences du service, le membre du personnel doit exceptionnellement prendre son repas de midi sur place, ses frais effectifs sont remboursés à concurrence d'un montant maximal de CHF 35.-, sur présentation des justificatifs détaillés (al. 1). De manière générale, le prix des alcools forts, les articles de tabac ainsi que les pourboires ne sont pas pris en charge par l'État (al. 3). c. Selon le memento des instructions de l'office du personnel de l'État (ci-après : MIOPE), le membre du personnel soumis au pointage enregistre préalablement le motif d'absence et introduit le « code 2 » en cas de mission ou séance sporadique à l'extérieur du lieu de travail habituel durant une période d'activité. Lorsque ce code est utilisé, le cycle horaire est pris en considération. Ce code reste actif jusqu'au prochain enregistrement et si la durée de la mission dépasse le cycle horaire, un ajustement est autorisé en tenant compte du fait que les journées de travail hors canton sont considérées comme des journées ordinaires de travail, le temps de déplacement, dans la même journée, étant pris en compte (fiche n° 03.01.01 « Modalités d'application des horaires de travail au sein de l'administration cantonale »). Aux termes de la fiche MIOPE n° 08.01.04 « Travail et consommation d'alcool », si les prestations insuffisantes d'un membre du personnel et/ou son inaptitude à remplir les exigences du poste qu'il occupe sont présumées être en lien avec une consommation d'alcool, la hiérarchie demande au service de santé du personnel de l'État de se prononcer à ce sujet. De plus, le membre du personnel conclut une convention d'abstinence d'une durée de deux ans. L'insuffisance des prestations du membre du personnel ou son inaptitude à remplir les exigences de son poste sont susceptibles d'aboutir à la résiliation des rapports de service sans ouverture d'une procédure de reclassement. L'annexe à la fiche MIOPE n° 08.01.04, intitulé « FAQ Travail et consommation d'alcool » précise notamment que la consommation d'alcool de l'employé concerne l'employeur si l'impact de ladite consommation met en danger sa sécurité ou celle des autres, si cela nuit à l'image de l'administration cantonale, si cela perturbe le bon fonctionnement du service ainsi que si cela affecte ses prestations ou son comportement professionnel, ainsi que son état de santé. d. Un fonctionnaire, pendant et en dehors de son travail, a l'obligation d'adopter un comportement qui inspire le respect et qui est digne de confiance, et sa position exige qu'il s'abstienne de tout ce qui peut porter atteinte aux intérêts de l'État (arrêt du Tribunal fédéral 8C_146/2014 du 26 juin 2014 consid. 5.5). Le comportement extra-professionnel d'un fonctionnaire peut également être retenu comme un élément pertinent au plan disciplinaire (arrêt du Tribunal fédéral 8C_24/2017 du 13 décembre 2017 consid. 3.6). 7) a. Selon l'art. 16 al. 1 LPAC, les fonctionnaires qui enfreignent leurs devoirs de service, soit intentionnellement, soit par négligence, peuvent faire l'objet, selon la gravité de la violation, d'un blâme, prononcé par le supérieur hiérarchique en accord avec la hiérarchie (let. a ch. 1), d'une suspension d'augmentation du traitement (let. b ch. 2) ou de la réduction de traitement à l'intérieur de la classe (let. b ch. 3), du retour au statut d'employé (let. c ch. 4) ou de la révocation (let. c ch. 5). b. Les sanctions disciplinaires sont régies par les principes généraux du droit pénal, de sorte qu'elles ne sauraient être prononcées en l'absence de faute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Cette méconnaissance doit cependant être fautive. Par ailleurs, il n'est pas nécessaire que la faute ait été commise dans le cadre de l'activité professionnelle ( ATA/244/2020 du 3 mars 2020 consid. 10b et les références citées). c. L'autorité qui inflige une sanction disciplinaire, qui dispose à cet égard d'un large pouvoir d'appréciation, doit respecter le principe de la proportionnalité.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ATA/244/2020 précité consid. 10b et les références citées). 8) a. En l'espèce, l'autorité intimée reproche au recourant, dans un premier grief, d'avoir, lors d'une mission à l'extérieur du canton le 3 mai 2019, consommé de l'alcool lors de sa pause de midi dans des quantités permettant de douter de la bonne exécution de ses tâches durant l'après-midi et d'avoir trompé son employeur, en produisant un justificatif non détaillé, afin qu'il ne puisse pas déterminer à quoi correspondait la note de frais dont il avait demandé le remboursement. Le recourant soutient que l'alcool consommé lors du déjeuner du 3 mai 2019 ne l'a pas été dans un cadre professionnel, puisqu'il était en pause. Il perd toutefois de vue que si sa consommation d'alcool n'a, à proprement parler, pas eu lieu durant ses heures de travail mais lors de sa pause déjeuner, sa journée de travail n'était pas pour autant terminée. Ce constat est d'autant plus vrai que le recourant indique lui-même avoir effectué une partie de ses activités dans le restaurant dans lequel il avait déjeuné. S'il est vrai que les dispositions légales et réglementaires applicables, de même que le MIOPE, n'abordent pas, en tant que telle, la question de la consommation d'alcool sous l'angle d'une interdiction absolue, mais sous celui de l'assuétude, il n'en demeure pas moins que toute consommation d'alcool durant une pause alors que l'employé est censé, par la suite, retourner sur son lieu de travail, est susceptible non seulement de nuire à l'image de son employeur, perturber le bon fonctionnement du service, mais également d'affecter les prestations de l'intéressé, son comportement professionnel ainsi que son état de santé, ce qui constitue un manquement aux devoirs de service ( ATA/359/2020 du 16 avril 2020 consid. 5). Il est vrai que lors du déjeuner litigieux, le recourant ne portait aucun uniforme ou signe distinctif permettant de reconnaître sa qualité de fonctionnaire de l'État de Genève, ce d'autant plus qu'il déjeunait dans le canton de Vaud. Ce nonobstant, le recourant a admis lors de l'entretien de service du 7 juin 2019 que sa consommation d'alcool lors de ce déjeuner n'était ni sérieuse ni acceptable. Le fait qu'il ait demandé au restaurant l'établissement d'une note de frais ne comportant pas d'autre mention que le montant de l'addition tend également à démontrer que le recourant n'ignorait pas que sa consommation d'alcool était problématique. Le collègue qui l'accompagnait lors de ce déjeuner a d'ailleurs indiqué à leur employeur qu'il avait été procédé de la sorte pour des raisons « d'image personnelle », notamment du recourant, lequel avait déjà été reçu par le directeur général pour une consommation d'alcool lors de ses pauses déjeuner. En revanche, il ne peut être retenu qu'en produisant un justificatif non détaillé, il aurait voulu tromper son employeur afin qu'il ne puisse pas déterminer à quoi correspondait la note de frais dont il avait demandé le remboursement. En effet, si l'employeur estimait que le justificatif remis n'était pas conforme au RDébours, il lui appartenait de refuser le remboursement de la somme de CHF 35.-, ce qu'il n'a pas fait. b. L'autorité intimée reproche également au recourant de ne pas être retourné sur son lieu de travail habituel durant l'après-midi du 3 mai 2019, après la fin de la visite chez le prestataire, et d'avoir effectué des tâches professionnelles dans un lieu public, au risque de compromettre les règles de confidentialité et de protection des données. Comme relevé à juste titre par l'autorité intimée, le « code 2 » que le recourant a introduit le 3 mai 2019 comptabilisait les heures effectives de travail en dehors du bureau, mais ne consistait pas en un forfait de huit heures, ce que ce dernier ne conteste d'ailleurs pas. Le recourant n'était ainsi pas dispensé de retourner à son poste l'après-midi puisque sa mission n'a duré que le temps d'une matinée, ni d'ailleurs de procéder à la modification du « code 2 » lors de son retour au bureau, étant précisé que le trajet entre Gland et Genève ne dure normalement pas plus de trois quarts d'heure. Le fait que le recourant ait préféré prendre sa pause déjeuner à Gland, compte tenu de l'heure à laquelle son collègue et lui avaient terminé le contrôle chez le prestataire, n'est en soi pas problématique. Il aurait toutefois dû revenir sur son lieu de travail après son repas et poursuivre son activité normale durant l'après-midi. Son argumentation selon laquelle il aurait effectué le nombre d'heures d'une journée habituelle de travail n'est au demeurant pas prouvée, celui-ci n'ayant en particulier pas transmis d'information à son employeur sur son horaire de travail durant la journée du 3 mai 2019 avant la présente procédure. En outre, il est discutable que le recourant ait choisi d'effectuer une partie de ses activités professionnelles consistant en l'occurrence à trier des pièces remises par des tiers et à rédiger un rapport dans un lieu public, à savoir un restaurant, au risque de compromettre les règles de la confidentialité et de protection des données, plutôt que sur son lieu ordinaire de travail. Ses explications à teneur desquelles la circulation rendait un retour au bureau compliqué ne lui sont d'aucun secours, dès lors qu'il devait dans tous les cas retourner à Genève pour rentrer chez lui et redéposer son collègue. c. S'agissant en revanche du dernier grief formulé à l'encontre du recourant, à savoir les propos inadéquats qu'il aurait tenus au sujet du directeur général, soit « qu'est-ce qu'il veut ce con », force est de constater que leur existence n'est pas prouvée à satisfaction. Si une responsable RH a effectivement rapporté la teneur de ceux-ci dans un courriel rédigé à l'attention du directeur général, le recourant a toujours nié avoir prononcé de tels mots. Les deux autres témoins de la discussion ayant eu lieu entre le recourant et la responsable RH, lesquels ont été auditionnés par la chambre de céans, n'ont pas été en mesure de confirmer l'existence de ceux-ci, l'un d'eux affirmant même que si le ton était monté, l'intéressé n'avait pas tenu de tels propos. Ce reproche, non suffisamment établi, ne peut ainsi être retenu. d. Dès lors, au vu des éléments qui précèdent, pris dans leur ensemble, et malgré le fait que certains des éléments reprochés au recourant ne puissent être retenus, c'est à juste titre que l'autorité intimée a considéré que l'intéressé avait commis des manquements à ses devoirs de service, de sorte qu'elle était fondée à prononcer à son encontre une sanction disciplinaire. 9) Dans ce cadre, le recourant allègue que le prononcé d'un blâme ne respecterait pas le principe de proportionnalité. S'il ne ressort pas du dossier que le recourant aurait déjà fait l'objet d'une sanction ou d'un avertissement formel, il a déjà été convoqué par sa hiérarchie moins de trois mois avant les faits litigieux puis postérieurement à ceux-ci à des entretiens au sujet de sa consommation d'alcool pendant ses pauses, au cours desquels il lui avait été indiqué que celle-ci posait de sérieux problèmes au regard de l'aptitude au travail et de l'exemplarité attendue d'un membre de la fonction publique. Par ailleurs, le blâme est la sanction la plus légère prévue par l'art. 16 al. 1 LPAC. Ainsi, dans les circonstances du cas d'espèce, force est de constater que l'autorité intimée n'a pas violé le principe de la proportionnalité ni outrepassé le large pouvoir d'appréciation dont elle disposait en matière de sanctions disciplinaires en prononçant un blâme. Mal fondé, le recours sera rejeté. 10)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