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A/199/2017 vom 4. April 2017</w:t>
      </w:r>
    </w:p>
    <w:p>
      <w:r>
        <w:t>GE Cour de justice, 2017-04-04, FR</w:t>
      </w:r>
    </w:p>
    <w:p>
      <w:r>
        <w:rPr>
          <w:b/>
        </w:rPr>
        <w:t xml:space="preserve">Quelle: </w:t>
      </w:r>
      <w:r>
        <w:t>https://mcp.opencaselaw.ch/entscheid/ge_gerichte_A_199_2017</w:t>
      </w:r>
    </w:p>
    <w:p>
      <w:r>
        <w:t>FR: GE_GERICHTE A/199/2017 du 4 avril 2017</w:t>
      </w:r>
    </w:p>
    <w:p>
      <w:r>
        <w:t>IT: GE_GERICHTE A/199/2017 del 4 aprile 2017</w:t>
      </w:r>
    </w:p>
    <w:p>
      <w:pPr>
        <w:pStyle w:val="Heading2"/>
      </w:pPr>
      <w:r>
        <w:t>Erwägungen</w:t>
      </w:r>
    </w:p>
    <w:p>
      <w:r>
        <w:rPr>
          <w:b/>
        </w:rPr>
        <w:t>E. 2</w:t>
      </w:r>
    </w:p>
    <w:p>
      <w:r>
        <w:t>ème Chambre En la cause Monsieur A______, domicilié à GENÈVE Madame A______, domiciliée à ONEX demandeurs contre FONDATION DE PREVOYANCE DE LA METALLURGIE DU BATIMENT (FPMB), sise avenue Eugène-Pittard 24, GENÈVE défenderesse EN FAIT 1.        Par jugement du 20 octobre 2016, la 1 ère chambre du Tribunal de première instance a prononcé le divorce de Madame A______, née B______ le ______ 1966, et Monsieur A______, né le ______ 1970, mariés en date du 21 janvier 1999. ![endif]&gt;![if&gt; 2.        Selon le chiffre 8 du dispositif du jugement précité, le Tribunal de première instance a ordonné le partage par moitié des avoirs de prévoyance professionnelle acquis par chacun des époux durant le mariage.![endif]&gt;![if&gt; 3.        Le jugement de divorce est devenu définitif le 13 décembre 2016 et a été transmis d'office à la chambre de céans le 18 janvier 2017 pour exécution du partage.![endif]&gt;![if&gt; 4.        La chambre de céans a sollicité des parties le nom de leur institution de prévoyance, puis a interpellé les institutions de prévoyance concernées en les priant de lui communiquer les montants des avoirs LPP des parties acquis durant le mariage, soit entre le 21 janvier 1999 et le 13 décembre 2016. Elle a également requis de la caisse cantonale genevoise de compensation (CCGC) les extraits de comptes individuels AVS des ex-époux.![endif]&gt;![if&gt; 5.        Selon le courrier de la Fondation de prévoyance de la métallurgie du bâtiment (FPMB) du 3 février 2017, la prestation de sortie du demandeur au 21 septembre 1999 (recte : 21 janvier 1999, ainsi qu’indiqué par ladite Fondation au le greffe de la chambre de céans par entretien téléphonique du 28 mars 2017), augmenté des intérêts jusqu’au 13 décembre 2016 s’élève à CHF 39'637.99 et celle à la date du 13 décembre 2016 à CHF 145'339.15. ![endif]&gt;![if&gt; 6.        Selon le courrier de la caisse de pension de C______ Suisse du 22 février 2017, la demanderesse n’a jamais été affiliée auprès d’elle, son salaire n’ayant jamais atteint le seuil d’accès pour ce faire.![endif]&gt;![if&gt; 7.        Ces documents ont été transmis aux parties en date du 27 février 2017. La juridiction leur a indiqué qu'à défaut d'observations d'ici au 13 mars 2017, un arrêt serait rendu sur cette base.![endif]&gt;![if&gt; 8.        Le 28 février 2017, la CCGC a adressé à la chambre de céans les extraits de comptes individuels AVS des ex-époux, lesquels ont été transmis aux demandeurs pour information le 2 mars 2017.![endif]&gt;![if&gt; 9.        Par courrier du 14 mars 2017, la chambre de céans a imparti un délai au 23 mars 2017 à la demanderesse pour lui permettre d’ouvrir un compte de libre passage auprès d’une banque ou d’une assurance. Sans réponse dans le délai imparti, la prestation de libre passage lui revenant serait transférée auprès de la Fondation institution supplétive LPP, Administration des comptes de libre passage à Zürich.![endif]&gt;![if&gt; 10.    En l'absence d'objections et de réponse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4.        En l’espèce, le juge de première instance a ordonné le partage par moitié des prestations de sortie acquises durant le mariage par les demandeurs. Les dates pertinentes sont, d’une part, celle du mariage, le 21 janvier 1999, d’autre part le 13 décembre 2017, date à laquelle le jugement de divorce est devenu exécutoire.![endif]&gt;![if&gt; 5.        Selon les documents produits, la prestation acquise pendant le mariage par le demandeur est de CHF 105'701.15 (CHF 145'339.15 – CHF 39'637.99), tandis que la demanderesse n’a pas cotisé auprès d’une institution de prévoyance. Ainsi le demandeur doit à son ex-épouse le montant de CHF 52'850.60 (CHF 105'701.15 : 2 = CHF 52'850.575 arrondi à CHF 52'850.60).![endif]&gt;![if&gt;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