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A/1998/2003 vom 27. November 2003</w:t>
      </w:r>
    </w:p>
    <w:p>
      <w:r>
        <w:t>GE Cour de justice, 2003-11-27, FR</w:t>
      </w:r>
    </w:p>
    <w:p>
      <w:r>
        <w:rPr>
          <w:b/>
        </w:rPr>
        <w:t xml:space="preserve">Quelle: </w:t>
      </w:r>
      <w:r>
        <w:t>https://mcp.opencaselaw.ch/entscheid/ge_gerichte_A_1998_2003</w:t>
      </w:r>
    </w:p>
    <w:p>
      <w:r>
        <w:t>FR: GE_GERICHTE A/1998/2003 du 27 novembre 2003</w:t>
      </w:r>
    </w:p>
    <w:p>
      <w:r>
        <w:t>IT: GE_GERICHTE A/1998/2003 del 27 novembre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Que selon l’art. 52 al. 1 de la loi fédérale sur la partie générale du droit des assurances sociales du 6 octobre 2000 (LPGA), les décisions de la caisse de compensation peuvent être attaquées dans les trente jours par voie d’opposition auprès de l’assureur qui les a rendues ;</w:t>
      </w:r>
    </w:p>
    <w:p>
      <w:r>
        <w:rPr>
          <w:b/>
        </w:rPr>
        <w:t>E. 3</w:t>
      </w:r>
    </w:p>
    <w:p>
      <w:r>
        <w:t>Qu’en l’occurrence, il ne ressort donc pas de la compétence du Tribunal de céans d’entrer en matière sur le courrier adressé en date du 31 janvier 2003 par la société à la Commission cantonale de recours ;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