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A/1996/2016 vom 19. September 2016</w:t>
      </w:r>
    </w:p>
    <w:p>
      <w:r>
        <w:t>GE Cour de justice, 2016-09-19, FR</w:t>
      </w:r>
    </w:p>
    <w:p>
      <w:r>
        <w:rPr>
          <w:b/>
        </w:rPr>
        <w:t xml:space="preserve">Quelle: </w:t>
      </w:r>
      <w:r>
        <w:t>https://mcp.opencaselaw.ch/entscheid/ge_gerichte_A_1996_2016</w:t>
      </w:r>
    </w:p>
    <w:p>
      <w:r>
        <w:t>FR: GE_GERICHTE A/1996/2016 du 19 septembre 2016</w:t>
      </w:r>
    </w:p>
    <w:p>
      <w:r>
        <w:t>IT: GE_GERICHTE A/1996/2016 del 19 settembre 2016</w:t>
      </w:r>
    </w:p>
    <w:p>
      <w:pPr>
        <w:pStyle w:val="Heading2"/>
      </w:pPr>
      <w:r>
        <w:t>Volltext</w:t>
      </w:r>
    </w:p>
    <w:p>
      <w:r>
        <w:t>Genève Cour de justice (Cour de droit public) Chambre des assurances sociales 19.09.2016 A/1996/2016</w:t>
      </w:r>
    </w:p>
    <w:p>
      <w:r>
        <w:t>A/1996/2016 ATAS/739/2016 du 19.09.2016 ( FFP ) , RETIRE rÉpublique et canton de genÈve POUVOIR JUDICIAIRE A/1996/2016 ATAS/739/2016 COUR DE JUSTICE Chambre des assurances sociales Arrêt du 19 septembre 2016 10 ème Chambre En la cause Madame A______ p.a La B______, à CHÊNE-BOURG recourante contre CAISSE CANTONALE GENEVOISE DE COMPENSATION, Service juridique, sise rue des Gares 12, GENEVE intimée Vu la décision de la Caisse cantonale genevoise de compensation du 28 mai 2016 ; Vu le recours du 11 juin 2016 ; Vu la réponse du 4 juillet 2016 ; Vu l'audience de comparution personnelle des parties du 19 septembre 2016 ; Attendu qu'à cette dernière audience la recourante a indiqué qu'elle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