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A/1991/2015 vom 30. Juni 2015</w:t>
      </w:r>
    </w:p>
    <w:p>
      <w:r>
        <w:t>GE Cour de justice, 2015-06-30, FR</w:t>
      </w:r>
    </w:p>
    <w:p>
      <w:r>
        <w:rPr>
          <w:b/>
        </w:rPr>
        <w:t xml:space="preserve">Quelle: </w:t>
      </w:r>
      <w:r>
        <w:t>https://mcp.opencaselaw.ch/entscheid/ge_gerichte_A_1991_2015</w:t>
      </w:r>
    </w:p>
    <w:p>
      <w:r>
        <w:t>FR: GE_GERICHTE A/1991/2015 du 30 juin 2015</w:t>
      </w:r>
    </w:p>
    <w:p>
      <w:r>
        <w:t>IT: GE_GERICHTE A/1991/2015 del 30 giugno 2015</w:t>
      </w:r>
    </w:p>
    <w:p>
      <w:pPr>
        <w:pStyle w:val="Heading2"/>
      </w:pPr>
      <w:r>
        <w:t>Volltext</w:t>
      </w:r>
    </w:p>
    <w:p>
      <w:r>
        <w:t>Genève Cour de justice (Cour de droit public) Chambre des assurances sociales 30.06.2015 A/1991/2015</w:t>
      </w:r>
    </w:p>
    <w:p>
      <w:r>
        <w:t>A/1991/2015 ATAS/517/2015 du 30.06.2015 ( FFP ) , SANS OBJET rÉpublique et canton de genÈve POUVOIR JUDICIAIRE A/1991/2015 ATAS/517/2015 COUR DE JUSTICE Chambre des assurances sociales Arrêt du 30 juin 2015 2 ème Chambre En la cause A______ SARL, sis c/o B______ à Genève, représenté par C______ STE FIDUCIAIRE SA recourant contre CAISSE CANTONALE GENEVOISE DE COMPENSATION, sis rue des Gares 12, Genève intimé ATTENDU EN FAIT Que par décision du 25 mai 2015, la caisse cantonale genevoise de compensation (ci-après : la caisse ou l’intimée) a facturé CHF 29.- de cotisations à A_____ Sàrl, en faveur du fond pour la formation professionnelle, conformément à la loi sur la formation professionnelle du 15 juin 2007 (LFP - C 2 05) ; Que dans son recours du 8 juin 2015, le recourant, représenté par son mandataire, a indiqué que la société avait été dissoute depuis avril 2014 et que partant, elle n’était plus tenue de payer de cotisation pour 2015 ; Qu’un délai a été fixé à l’intimée au 10 juillet 2015 pour répondre et déposer son dossier ; Que par pli du 26 juin 2015, la caisse a informé la chambre de céans avoir annulé sa décision litigieuse.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du retrait de la décision rendue par l’intimée le 24 mai 2015, par pli du 26 juin 2015.![endif]&gt;![if&gt;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