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A/1987/2007 vom 5. Februar 2008</w:t>
      </w:r>
    </w:p>
    <w:p>
      <w:r>
        <w:t>GE Cour de justice, 2008-02-05, FR</w:t>
      </w:r>
    </w:p>
    <w:p>
      <w:r>
        <w:rPr>
          <w:b/>
        </w:rPr>
        <w:t xml:space="preserve">Quelle: </w:t>
      </w:r>
      <w:r>
        <w:t>https://mcp.opencaselaw.ch/entscheid/ge_gerichte_A_1987_2007</w:t>
      </w:r>
    </w:p>
    <w:p>
      <w:r>
        <w:t>FR: GE_GERICHTE A/1987/2007 du 5 février 2008</w:t>
      </w:r>
    </w:p>
    <w:p>
      <w:r>
        <w:t>IT: GE_GERICHTE A/1987/2007 del 5 febbraio 2008</w:t>
      </w:r>
    </w:p>
    <w:p>
      <w:pPr>
        <w:pStyle w:val="Heading2"/>
      </w:pPr>
      <w:r>
        <w:t>Erwägungen</w:t>
      </w:r>
    </w:p>
    <w:p>
      <w:r>
        <w:rPr>
          <w:b/>
        </w:rPr>
        <w:t>E. 6</w:t>
      </w:r>
    </w:p>
    <w:p>
      <w:r>
        <w:t>L’usage d’un permis de conduire étranger peut être interdit en vertu des dispositions qui s’appliquent au retrait du permis de conduire suisse (art. 45 de l’ordonnance réglant l’admission des personnes et des véhicules à la circulation routière du 27 octobre 1976 - OAC - RS 741.51 ; ATA/523/2007 du 16 octobre 2007).</w:t>
      </w:r>
    </w:p>
    <w:p>
      <w:r>
        <w:rPr>
          <w:b/>
        </w:rPr>
        <w:t>E. 7</w:t>
      </w:r>
    </w:p>
    <w:p>
      <w:r>
        <w:t>La loi établit une distinction entre  : - les infractions légères (art. 16a al. 1 litt a et b LCR) ; - les infractions moyennement graves (art. 16b al. 1 litt a à d LCR) ; - les infractions graves (art. 16c al 1 litt a à f LCR).</w:t>
      </w:r>
    </w:p>
    <w:p>
      <w:r>
        <w:rPr>
          <w:b/>
        </w:rPr>
        <w:t>E. 8</w:t>
      </w:r>
    </w:p>
    <w:p>
      <w:r>
        <w:t>Après une infraction grave, la mesure - soit l’interdiction de circuler sur territoire suisse - doit être prononcée pour trois mois au minimum (art. 16c al. 2 litt a LCR). Le SAN ayant prononcé une mesure conforme à ce minimum légal, le recours ne peut qu’être rejeté, malgré les bons antécédents du recourant et quels que soient ses besoins professionnels de pouvoir conduire sur territoire suisse.</w:t>
      </w:r>
    </w:p>
    <w:p>
      <w:r>
        <w:rPr>
          <w:b/>
        </w:rPr>
        <w:t>E. 9</w:t>
      </w:r>
    </w:p>
    <w:p>
      <w:r>
        <w:t>Vu l’issue du recours,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