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A/1987/2006 vom 18. April 2006</w:t>
      </w:r>
    </w:p>
    <w:p>
      <w:r>
        <w:t>GE Cour de justice, 2006-04-18, FR</w:t>
      </w:r>
    </w:p>
    <w:p>
      <w:r>
        <w:rPr>
          <w:b/>
        </w:rPr>
        <w:t xml:space="preserve">Quelle: </w:t>
      </w:r>
      <w:r>
        <w:t>https://mcp.opencaselaw.ch/entscheid/ge_gerichte_A_1987_2006</w:t>
      </w:r>
    </w:p>
    <w:p>
      <w:r>
        <w:t>FR: GE_GERICHTE A/1987/2006 du 18 avril 2006</w:t>
      </w:r>
    </w:p>
    <w:p>
      <w:r>
        <w:t>IT: GE_GERICHTE A/1987/2006 del 18 aprile 2006</w:t>
      </w:r>
    </w:p>
    <w:p>
      <w:pPr>
        <w:pStyle w:val="Heading2"/>
      </w:pPr>
      <w:r>
        <w:t>Regeste</w:t>
      </w:r>
    </w:p>
    <w:p>
      <w:r>
        <w:t>; PRÉVOYANCE PROFESSIONNELLE SELON LA LPP ; LOI FÉDÉRALE SUR LA PRÉVOYANCE PROFESSIONNELLE ; PARTAGE(SENS GÉNÉRAL) ; AVOIR DE VIEILLESSE ; LOGEMENT ; DIVORCE ; JUGEMENT DE DIVORCE ; ACQUISITION DE LA PROPRIÉTÉ | LFLP22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a)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b) Toutes les prétentions issues de rapports de prévoyance soumis à la loi sur le libre passage doivent en principe être partagées en cas de divorce selon les art. 122 ss CC.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(ATF 128 V 234 consid. 2c et la référence; Message du Conseil fédéral du 15 novembre 1996 concernant la révision du code civil suisse [FF 1996 I 113 ]).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Seuls sont pris en considération les montants qui font encore l'objet d'une obligation de remboursement au moment du divorce; ils sont à comptabiliser dans la prestation de sortie au moment du divorce (ATF 128 V 235 consid. 3b et les références; ATFA du 22 juillet 2005, cause B 18/04). A la différence de la prestation de sortie, le versement anticipé pour l'acquisition d'un logement conserve sa valeur nominale jusqu'au divorce (Thomas GEISER, in op. cit., p. 73; Jacques-André SCHNEIDER/Christian BRUCHEZ, in op. cit., p. 230). Il ne produit donc pas d'intérêts au sens de l'art. 22 al. 2 deuxième phrase LFLP. En effet, ces intérêts, échus durant le mariage et qui profitent au conjoint affilié à l'institution de prévoyance, sont destinés à compenser l'inflation (message précité du Conseil fédéral [FF 1996 I 110 ]; voir aussi Rolf Brunner, Die Berücksichtigung von Vorbezügen für Wohneigentum bei der Teilung der Austrittsleistung nach Art. 122 ZGB, ZBJV 136/2000, p. 536 sv.; ATFA du 13 mai 2002, cause B 1/2001). c) Selon l'art. 30d LPP, l’assuré ou ses héritiers doivent rembourser le montant perçu à l’institution de prévoyance si: a. le logement en propriété est vendu; b. des droits équivalant économiquement à une aliénation sont concédés sur le logement en propriété; c. aucune prestation de prévoyance n’est exigible en cas de décès de l’assuré (al. 1). L’assuré peut rembourser en tout temps le montant perçu, à condition de respecter les dispositions fixées à l’al. 3 (al. 2). Le remboursement est autorisé: a. jusqu’à trois ans avant la naissance du droit aux prestations de vieillesse; b. jusqu’à la survenance d’un autre cas de prévoyance; c. jusqu’au paiement en espèces de la prestation de libre passage (al. 3). Si, dans un délai de deux ans, l’assuré entend investir à nouveau dans la propriété de son logement le produit de vente du logement équivalant au versement anticipé, il peut transférer ce montant à une institution de libre passage (al. 4). En cas de vente du logement, l’obligation de rembourser se limite au produit réalisé. Par produit, on entend le prix de vente, déduction faite des dettes hypothécaires et des charges légales supportées par le vendeur (al. 5). En cas de remboursement du versement anticipé à l’institution de prévoyance, celle-ci doit reconnaître à l’assuré un droit à des prestations proportionnellement plus élevées, déterminé par son règlement (al. 6). Le versement anticipé doit rester lié à l'immeuble acquis. Le lien est garanti, d'une part par la restriction du droit d'aliéner au sens de l'art. 30 e al. 1 LPP mentionné au registre foncier et, d'autre part, par l'obligation de rembourser en cas de vente au sens de l'art. 30d LPP, ces deux mesures visant à assurer que le versement anticipé ne soit pas retiré du cercle de la prévoyance (ATFA du 22 juillet 2005, cause B 18/04). En l’espèce, le juge de première instance a ordonné le partage par moitié des avoirs de prévoyance des demandeurs. Les dates pertinentes sont, d’une part, celle du mariage, le 7 janvier 1994, d’autre part le 24 mai 2006, date à laquelle le jugement de divorce est devenu exécutoire. L'avocat des demandeurs a contesté le calcul effectué par la CAP dans la mesure où celle-ci ajoutait à l'avoir de prévoyance de la demanderesse le versement anticipé de fr. 41'000.-. A cet égard, selon la jurisprudence précitée, le versement anticipé doit impérativement rester lié à l'immeuble acquis de telle manière qu'en cas de vente de celui-ci, il soit remboursé à l'institution de prévoyance. Certes, dans le cas d'espèce, l'absence de restriction au droit d'aliéner, en raison de la requête en radiation de la fondation de prévoyance Edipresse, a eu comme conséquence que ledit versement n'a pas été remboursé à l'institution de prévoyance concernée après la vente du logement. Toutefois, l'obligation de rembourser en cas de vente selon l'art. 30d LPP pallie ce manquement et a pour conséquence que l'institution de prévoyance dispose d'une créance à hauteur du montant du versement anticipé, de telle manière que celui-ci reste dans le cercle de la prévoyance. Ainsi, c'est à juste titre que la CAP a ajouté à l'avoir de prévoyance de la demanderesse le montant de fr. 41'000.-. Selon les documents produits, la prestation acquise pendant le mariage par M. M__________ est de fr. 246'673,65 tandis que celle acquise par Mme M__________ est de fr. 101'056,70 (soit [fr. 111'114,95 + fr. 41'000.-] - fr. 51'058,25), les intérêts ayant déjà été calculés par les institutions de prévoyance défenderesses. A cet égard, la CAP a expliqué le 17 août 2006 que l'avoir de prévoyance de la demanderesse était bien de fr. 111'114,95 en raison d'un solde de crédits de rappels. En conséquence, M. M__________ doit à son ex-épouse le montant de fr. 123'336,80 (fr. 246'673,65 : 2) et celle-ci lui doit le montant de fr. 50'528,35 (fr. 101'056,70 : 2), de sorte que c’est M. M__________ qui doit à Mme M__________ le montant de fr. 72'808,45.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