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A/1983/2009 vom 3. September 2009</w:t>
      </w:r>
    </w:p>
    <w:p>
      <w:r>
        <w:t>GE Cour de justice, 2009-09-03, FR</w:t>
      </w:r>
    </w:p>
    <w:p>
      <w:r>
        <w:rPr>
          <w:b/>
        </w:rPr>
        <w:t xml:space="preserve">Quelle: </w:t>
      </w:r>
      <w:r>
        <w:t>https://mcp.opencaselaw.ch/entscheid/ge_gerichte_A_1983_2009</w:t>
      </w:r>
    </w:p>
    <w:p>
      <w:r>
        <w:t>FR: GE_GERICHTE A/1983/2009 du 3 septembre 2009</w:t>
      </w:r>
    </w:p>
    <w:p>
      <w:r>
        <w:t>IT: GE_GERICHTE A/1983/2009 del 3 settembre 2009</w:t>
      </w:r>
    </w:p>
    <w:p>
      <w:pPr>
        <w:pStyle w:val="Heading2"/>
      </w:pPr>
      <w:r>
        <w:t>Regeste</w:t>
      </w:r>
    </w:p>
    <w:p>
      <w:r>
        <w:t>Vente aux enchères; Bordereau définitif de vente; Impôt fédéral direct. | Plainte contre l'état des charges par l'acquéreur d'un immeuble vendu aux enchères que l'IFD n'a pas à être inclus puisque prélevé sur le bénéfice et le capital. Plainte rejetée. Recours au Tribunal fédéral rejeté par arrêt | LP.209; LP.262: LCEE.2; LFIFD.58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 Commentaire, ad art. 136 n° 10). En l’occurrence, les conditions de vente prévoyaient tant l’hypothèse d’un paiement intégral avant l’adjudication que la possibilité d’une adjudication subordonnée au versement préalable de 1'300'000 fr., à titre d’acompte sur le prix d’adjudication (ch. 10b) et au paiement du solde dans un délai de deux mois échéant le 24 juin 2008. Ces conditions prévoyaient aussi que, dans ce dernier cas, l’adjudicataire devrait des intérêts à 5% jusqu’au jour du paiement. 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158'059 fr. ne serait pas prioritaire par rapport aux créanciers hypothécaires dont elle fait partie. 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est donc soumis à un impôt sur le bénéfice au sens de l'art. 58 al. 1 let c LFIFD. Quant au calcul de cet impôt, il n'est pas de la compétence de la Commission de céans de se déterminer sur son exactitude. 3.b. Selon l'art. 262 al. 1 LP, " les frais d'ouverture de la faillite, de liquidation et de prise d'inventaire sont couverts en premier lieu" . Sont inclus dans les frais de procédure de faillite les frais d'ouverture de faillite, les frais de prise d'inventaire, et les frais de liquidation de la faillite, tel par exemple les frais de procès. Parmi les dettes de masse,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 En l'espèce, il n'est pas contesté par la plaignante que l'impôt dû sur la base de l'IFD est né par l'adjudication (ATF 120 III 128 , JdT 1997 II 59) et est donc une dette de masse, à la charge de la plaignante. Cela étant, si la plaignante entend contester le montant proprement dit de l'impôt, il incombe à l'Office de réclamer une décision formelle de taxation auprès de l'Administration fiscale cantonale, service des personnes morales, afin que soient ouverte les voies de droit.</w:t>
      </w:r>
    </w:p>
    <w:p>
      <w:r>
        <w:rPr>
          <w:b/>
        </w:rPr>
        <w:t>E. 4</w:t>
      </w:r>
    </w:p>
    <w:p>
      <w:r>
        <w:t>La plaignante ne critique plus dans sa détermination du 31 juillet 2009 le taux d'intérêt appliqué aux fonds placés auprès de la Caisse de consignation de l'Etat de Genève, soit 0.25 % ainsi que le total des intérêts calculés par celle-ci. Cela étant, il sera rappelé que les cantons doivent désigner des caisses de dépôts et consignation (art. 24 LP) où 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 Commentaire ad art. 9, n° 7 à 12). Les autorités de poursuites ont ainsi une obligation de placer les fonds ne pouvant être immédiatement distribués, de manière à produire des intérêts (ATF 105 III 90 , JdT 1981 II 19). A Genève, la Caisse de consignation de l'Etat est la seule habilitée pour recevoir les consignations autorisées ou ordonnées par les lois, les jugements ou les décisions d'autorités administratives (art. 1 LCCE). Toute somme déposée est produit des intérêts à partir du 61 ème jour (art. 2 LCCE), au taux de 0.25% (art. 1 RTICC-2008). C'est donc à bon droit que l'Office a consigné les loyers encaissés. Par contre, s'agissant d'un problème de fond, il n'appartient pas à la Commission de céans de vérifier le calcul opéré par la Caisse de consignation au niveau du montant d'intérêt à partager. Ce grief sera donc rejeté. 5.a. La plaignante estime que les créanciers hypothécaires n'ont pas à bénéficier d'intérêts sur le prix de vente. 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15 mai 2009. Le montant total du produit de réalisation s'élève à 7'559'636 fr. 83, celui des hypothèques et des intérêts échus s'élevant à 11'790'479 fr. (1'464'000 fr. + 443'011 fr. + 2'915468 fr. + 6'968'000 fr.). La Commission de céans ne partage ainsi pas la position de l'Office lorsque celui-ci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 Si cette distribution d'intérêts est juste dans son principe telle qu'effectuée dans la décision querellée, les explications données à son sujet par l'Office dans son rapport ne sont par contre pas correctes, car partant d'une prémisse erronée. La Commission de céans a déjà décidé par le passé que les intérêts issus de la consignation devaient être répartis entre les créanciers hypothécaires, soit en l'espèce la Fondation de valorisation et la plaignante (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 S'agissant de l'impôt immobilier réclamé par l'Administration fiscale pour les années 1998 à 2007, la Commission de céans considère que son droit à un intérêt, contesté par la plaignante, est identique que celui des créanciers hypothécaires, s'agissant d'une dette privilégiée, soumise à intérêts (art. 364 LCP) dans l'hypothèse non réalisée en l'espèce de l'art. 209 al. 2 LP. C'est donc à bon droit que l'Office a calculé un intérêt de 368 fr. 55 en sa faveur. Ce dernier grief sera dès lors également rejeté.</w:t>
      </w:r>
    </w:p>
    <w:p>
      <w:r>
        <w:rPr>
          <w:b/>
        </w:rPr>
        <w:t>E. 6</w:t>
      </w:r>
    </w:p>
    <w:p>
      <w:r>
        <w:t>S'agissant de l'instruction de la question de savoir si le bordereau de vente du 13 août 2008 a été notifié à l'Administration fiscale, la réponse est négative, seul le procès-verbal de vente ayant été communiqué en date du 30 avril 2008 par l'Office. L'argumentation de la plaignante sur ce point devient dès lors sans objet. * * * * * PAR CES MOTIFS, LA COMMISSION DE SURVEILLANCE SIÉGEANT EN SECTION : A la forme : Déclare recevable la plainte formée le 5 juin 2009 par C______ SA contre le décompte définitif de vente du 26 mai 2009 s'agissant de la vente aux enchères de l'immeuble sis 2C, chemin M______ à V______ dans le cadre de la faillite n° 2001 000XXX L/OFA7.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