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A/197/2025 vom 1. September 2025</w:t>
      </w:r>
    </w:p>
    <w:p>
      <w:r>
        <w:t>GE Cour de justice, 2025-09-01, FR</w:t>
      </w:r>
    </w:p>
    <w:p>
      <w:r>
        <w:rPr>
          <w:b/>
        </w:rPr>
        <w:t xml:space="preserve">Quelle: </w:t>
      </w:r>
      <w:r>
        <w:t>https://mcp.opencaselaw.ch/entscheid/ge_gerichte_A_197_2025</w:t>
      </w:r>
    </w:p>
    <w:p>
      <w:r>
        <w:t>FR: GE_GERICHTE A/197/2025 du 1 septembre 2025</w:t>
      </w:r>
    </w:p>
    <w:p>
      <w:r>
        <w:t>IT: GE_GERICHTE A/197/2025 del 1 settembre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1 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132 V 215 consid. 3.1.1 et les références). En l’occurrence, la nouvelle demande de prestations a été déposée le 11 janvier 2024, de sorte que les dispositions légales applicables seront citées dans leur nouvelle teneur.</w:t>
      </w:r>
    </w:p>
    <w:p>
      <w:r>
        <w:rPr>
          <w:b/>
        </w:rPr>
        <w:t>E. 1.3</w:t>
      </w:r>
    </w:p>
    <w:p>
      <w:r>
        <w:t>Le délai de recours est de 30 jours (art. 56 LPGA ; art. 62 al. 1 de la loi sur la procédure administrative du 12 septembre 1985 [LPA - E 5 10]). Interjeté dans la forme et le délai prévus par la loi, le recours est recevable.</w:t>
      </w:r>
    </w:p>
    <w:p>
      <w:r>
        <w:rPr>
          <w:b/>
        </w:rPr>
        <w:t>E. 2</w:t>
      </w:r>
    </w:p>
    <w:p>
      <w:r>
        <w:t>Le litige porte sur le droit de la recourante à une rente d’invalidité, singulièrement sur la question d’une aggravation de son état de santé depuis la dernière décision de l’intimé du 23 juin 2021.</w:t>
      </w:r>
    </w:p>
    <w:p>
      <w:r>
        <w:rPr>
          <w:b/>
        </w:rPr>
        <w:t>E. 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Une rente n’est pas octroyée tant que toutes les possibilités de réadaptation au sens de l’art. 8 al. 1 bis et 1 ter n’ont pas été épuisées (art. 28 al. 1 bis LAI).</w:t>
      </w:r>
    </w:p>
    <w:p>
      <w:r>
        <w:rPr>
          <w:b/>
        </w:rPr>
        <w:t>E. 3.2</w:t>
      </w:r>
    </w:p>
    <w:p>
      <w:r>
        <w:t>Lorsque l’administration entre en matière sur une nouvelle demande, après avoir nié le droit à une prestation ( cf. art. 87 al. 3 RAI), l’examen matériel doit être effectué de manière analogue à celui d'un cas de révision au sens de l'art. 17 al. 1 LPGA (ATF 141 V 585 consid. 5.3 et les références ; cf. arrêt du Tribunal fédéral 8C_12/2023 du 22 août 2023 consid. 3.2). Elle doit donc traiter l'affaire au fond et vérifier que la modification du degré d'invalidité rendue plausible par l'assuré est réellement intervenue (examen « allseitig »). Lorsque les faits déterminants pour le droit à la rente se sont modifiés, le degré d'invalidité doit ainsi être fixé à nouveau sur la base d'un état de fait établi de manière correcte et complète, sans référence à des évaluations antérieures de l'invalidité (ATF 141 V 9 consid. 6.1 et les références ; arrêt du Tribunal fédéral 9C_498/2023 du 11 décembre 2023 consid. 5.1 et les références).</w:t>
      </w:r>
    </w:p>
    <w:p>
      <w:r>
        <w:rPr>
          <w:b/>
        </w:rPr>
        <w:t>E. 3.3</w:t>
      </w:r>
    </w:p>
    <w:p>
      <w:r>
        <w:t>L’art. 17 al. 1 LPGA dispose que la rente d'invalidité est, d'office ou sur demande, révisée pour l'avenir, à savoir augmentée, réduite ou supprimée, lorsque le taux d'invalidité de l'assuré : -        subit une modification d'au moins 5 points de pourcentage, ou -        atteint 100%. 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 Une amélioration de la capacité de gain ou de la capacité d'accomplir les travaux habituels de l'assuré n'est déterminante pour la suppression de tout ou partie du droit aux prestations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(art. 88 a al. 1 RAI). Le fardeau de la preuve quant à cette amélioration de la capacité de travail incombe à l’administration (arrêt du Tribunal fédéral 8C_510/2020 du 15 avril 2021 consid. 2.2 et les références). Un motif de révision a été retenu notamment lorsqu’une méthode différente d’évaluation de l’invalidité s’applique (arrêt du Tribunal fédéral 8C_716/2022 du 5 juillet 2023 consid. 4.2), lors d’un changement de poste de travail (arrêt du Tribunal fédéral 9C_33/2016 du 16 août 2016 consid. 8.1) et lorsqu’une mesure de réadaptation a réussi (arrêt du Tribunal fédéral 9C_231/2016 du 1 er juin 2016 consid. 2.1). En revanche, il n'y a pas matière à révision lorsque les circonstances sont demeurées inchangées et que le motif de la suppression ou de la diminution de la rente réside uniquement dans une nouvelle appréciation du cas (ATF 147 V 167 consid. 4.1 et les références). Un motif de révision au sens de l'art. 17 LPGA doit clairement ressortir du dossier. La réglementation sur la révision ne saurait en effet constituer un fondement juridique à un réexamen sans condition du droit à la rente (arrêt du Tribunal fédéral I 111/07 du 17 décembre 2007 consid. 3 et les références). Le simple fait qu'un diagnostic ne soit plus retenu à la suite d'un examen ultérieur ne saurait justifier, à lui seul, la révision du droit à la rente, dans la mesure où un tel constat ne permet pas d'exclure l'existence d'une appréciation différente d'un état de fait qui, pour l'essentiel, est demeuré inchangé. Une modification sensible de l'état de santé ne saurait être admise que si le nouveau diagnostic est corroboré par un changement clairement objectivé de la situation clinique et par l'amélioration, voire la disparition des limitations fonctionnelles précédemment décrites (arrêts du Tribunal fédéral 9C_860/2015 du 1 er juin 2016 consid. 4.3 ; cf. également 9C_353/2020 du 5 mai 2021 consid. 2.2 et les références). Les constatations et conclusions médicales dans le cadre d’une révision doivent porter précisément sur les changements survenus par rapport à l’atteinte à la santé et à ses effets depuis l’appréciation médicale antérieure déterminante. La valeur probante d’une expertise réalisée dans le cadre de la révision du droit à la rente dépend donc essentiellement de la question de savoir si elle contient des explications suffisantes sur la mesure dans laquelle une modification de l’état de santé a eu lieu. Demeurent réservées les situations dans lesquelles il est évident que l’état de santé s’est modifié (arrêt du Tribunal fédéral 8C_385/2023 du 30 novembre 2023 consid. 4.2.3 et les références).</w:t>
      </w:r>
    </w:p>
    <w:p>
      <w:r>
        <w:rPr>
          <w:b/>
        </w:rPr>
        <w:t>E. 3.4</w:t>
      </w:r>
    </w:p>
    <w:p>
      <w:r>
        <w:t>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9 ).</w:t>
      </w:r>
    </w:p>
    <w:p>
      <w:r>
        <w:rPr>
          <w:b/>
        </w:rPr>
        <w:t>E. 4.1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 102 V 165 consid. 3.1 ; VSI 2001 p. 223 consid. 2b ; arrêt du Tribunal fédéral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141 V 281 consid. 2.1 et 2.1.1 ; 130 V 396 consid. 5.3 et 6).</w:t>
      </w:r>
    </w:p>
    <w:p>
      <w:r>
        <w:rPr>
          <w:b/>
        </w:rPr>
        <w:t>E. 4.2</w:t>
      </w:r>
    </w:p>
    <w:p>
      <w:r>
        <w:t>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132 V 65 consid. 4.2.2 ; arrêt du Tribunal fédéral 9C_16/2016 du 14 juin 2016 consid. 3.2).</w:t>
      </w:r>
    </w:p>
    <w:p>
      <w:r>
        <w:rPr>
          <w:b/>
        </w:rPr>
        <w:t>E. 4.3</w:t>
      </w:r>
    </w:p>
    <w:p>
      <w:r>
        <w:t>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4.4</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 cf. ATF 141 V 281 consid. 2.2 ; arrêt du Tribunal fédéral 9C_756/2018 du 17 avril 2019 5.2.2 et la référence).</w:t>
      </w:r>
    </w:p>
    <w:p>
      <w:r>
        <w:rPr>
          <w:b/>
        </w:rPr>
        <w:t>E. 4.5</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(arrêts du Tribunal fédéral 9C_101/2019 du 12 juillet 2019 consid. 4.3 et la référence ; 9C_724/2018 du 11 juillet 2019 consid. 7). En l’absence d’un diagnostic psychiatrique, une telle appréciation n’a pas non plus à être effectuée (arrêt du Tribunal fédéral 9C_176/2018 du 16 août 2018 consid. 3.2.2).</w:t>
      </w:r>
    </w:p>
    <w:p>
      <w:r>
        <w:rPr>
          <w:b/>
        </w:rPr>
        <w:t>E. 5.1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 cf. arrêt du Tribunal fédéral 8C_286/2020 du 6 août 2020 consid. 4 et la référence).</w:t>
      </w:r>
    </w:p>
    <w:p>
      <w:r>
        <w:rPr>
          <w:b/>
        </w:rPr>
        <w:t>E. 5.2</w:t>
      </w:r>
    </w:p>
    <w:p>
      <w:r>
        <w:t>Selon le principe de libre appréciation des preuves, pleinement valable en procédure judiciaire de recours dans le domaine des assurances sociales (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rPr>
          <w:b/>
        </w:rPr>
        <w:t>E. 5.3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5.4</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135 V 465 consid. 4.4. et les références ; 125 V 351 consid. 3b/aa et les références).</w:t>
      </w:r>
    </w:p>
    <w:p>
      <w:r>
        <w:rPr>
          <w:b/>
        </w:rPr>
        <w:t>E. 5.5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5.6</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5.7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6</w:t>
      </w:r>
    </w:p>
    <w:p>
      <w:r>
        <w:t>En l’occurrence, l’intimé s’est fondé sur l’expertise bidisciplinaire du BEM pour retenir une capacité de travail totale de la recourante, dans une activité adaptée aux limitations fonctionnelles dès le 1 er janvier 2018.</w:t>
      </w:r>
    </w:p>
    <w:p>
      <w:r>
        <w:rPr>
          <w:b/>
        </w:rPr>
        <w:t>E. 6.1</w:t>
      </w:r>
    </w:p>
    <w:p>
      <w:r>
        <w:t>Du point de vue somatique, l’expertise rhumatologique du BEM, fondée sur toutes les pièces du dossier, comprenant une anamnèse, les plaintes de la recourante, la description d’une journée-type, le traitement prodigué, un status rhumatologique, des diagnostics clairs et une évaluation convaincante de la capacité de travail de la recourante, répond aux réquisits jurisprudentiels précités pour qu’il lui soit reconnu une pleine valeur probante.</w:t>
      </w:r>
    </w:p>
    <w:p>
      <w:r>
        <w:rPr>
          <w:b/>
        </w:rPr>
        <w:t>E. 6.1.1</w:t>
      </w:r>
    </w:p>
    <w:p>
      <w:r>
        <w:t>La recourante reproche à l’expertise rhumatologique du BEM, en se prévalant des rapports du Dr N______ des 16 et 19 novembre 2024, 15 avril et 7 juin 2025, ainsi que du rapport de la Dre R______ du 5 juin 2025, de ne pas avoir retenu un diagnostic de fibromyalgie et d’avoir estimé la capacité de travail comme étant totale (depuis janvier 2018). À cet égard, la chambre de céans constate que le Dr J______, dans son expertise du 22 août 2019, jugée probante par la chambre de céans, avait déjà retenu un diagnostic de fibromyalgie, en application des critères révisés en 2016 de l’ACR 2010, jugé non incapacitant par les experts du SMR (expertise du SMR du 22 août 2019, pp. 15 et 19). L’experte psychiatre du SMR avait en effet indiqué que le diagnostic de fibromyalgie, posé par le rhumatologue, devait être examiné selon les indicateurs jurisprudentiels actuels, qu’aucune morbidité psychiatrique n’était mise en évidence, que les ressources disponibles et mobilisables de l’assurée étaient conservées et que ce diagnostic ne présentait donc pas de caractère incapacitant. Cette absence de caractère incapacitant a également été confirmée par l’expert judiciaire O______. Dans le cadre de la nouvelle demande de prestations de la recourante, il convient d’examiner si l’état de santé somatique de celle-ci s’est aggravé depuis la décision de l’intimé du 23 juin 2021. Or, la seule invocation du diagnostic de fibromyalgie, déjà retenu dans le cadre de la première procédure, est insuffisant pour admettre une telle aggravation, ce d’autant qu’aucun rapport médical au dossier, dont ceux du Dr N______, ne fait état d’une aggravation des symptômes de la fibromyalgie, de telle manière qu’elle aurait, depuis juin 2021, une incidence sur la capacité de travail de la recourante. Le fait que le Dr N______ relève, en novembre 2024, la présence « depuis plusieurs mois » d’une fibromyalgie ne permet pas encore d’établir que celle-ci, déjà attestée par le Dr J______ en 2019, se serait aggravée, ce d’autant que les douleurs dans tout le corps évoquées par le Dr N______ (rapport du 16 novembre 2024) étaient déjà signalées par la recourante en 2019, soit antérieurement à la décision de l’intimé du 23 juin 2021. L’avis du Dr N______ quant à une capacité de travail de la recourante de 50% avec une performance de 80% dans un emploi adapté, n’est pas motivée autrement que par la présence de la fibromyalgie, ce qui n’est, dans ce contexte, pas suffisamment probant (avis du Dr N______ du 7 juin 2025). Quant à l’avis succinct du Dr D______, lequel n’est pas rhumatologue, attestant le 18 décembre 2023 d’une fibromyalgie depuis 2016, avec des douleurs de plus en plus invalidantes au niveau des épaules, poignets, genoux, cervicales et lombaires, est insuffisant pour établir une fibromyalgie incapacitante. Enfin, l’avis du Dr L______ du 30 octobre 2023, mentionne des douleurs récurrentes et chroniques depuis plus de dix ans, sans faire valoir une aggravation de cette symptomatologie depuis juin 2021. Ainsi, même s’il fallait conclure que l’expertise rhumatologique du BEM a omis, à tort, de retenir un diagnostic de fibromyalgie, aucun élément au dossier ne permet d’établir une aggravation, depuis juin 2021, de cette symptomatologie, étant relevé que le constat d’une absence de douleurs à la palpation et de signes de Wadell au jour de l’expertise du BEM, va également dans le sens d’une absence d’aggravation de cette pathologie (rapport d’expertise rhumatologique du BEM, p. 13). En outre, comme relevé par le SMR (avis du 23 avril 2025), les dernières pièces médicales transmises par la recourante n’établissent pas d’atteinte durablement incapacitante, ce que la recourante ne prétend d’ailleurs pas. S’agissant du rapport de la Dre R______ du 5 juin 2025, comme relevé par le SMR, il évoque les nombreuses investigations médicales effectuées par la recourante sans qu’un diagnostic incapacitant en résulte.</w:t>
      </w:r>
    </w:p>
    <w:p>
      <w:r>
        <w:rPr>
          <w:b/>
        </w:rPr>
        <w:t>E. 6.1.2</w:t>
      </w:r>
    </w:p>
    <w:p>
      <w:r>
        <w:t>Au vu de ce qui précède, aucun élément au dossier ne permet d’établir une aggravation de l’état de santé somatique de la recourante depuis le 23 juin 2021, date de la dernière décision de l’intimé, fondée sur l’expertise bidisciplinaire du SMR du 22 août 2019. En conséquence, il sera renoncé, par appréciation anticipée des preuves, à l’audition des Drs R______ et N______.</w:t>
      </w:r>
    </w:p>
    <w:p>
      <w:r>
        <w:rPr>
          <w:b/>
        </w:rPr>
        <w:t>E. 6.2</w:t>
      </w:r>
    </w:p>
    <w:p>
      <w:r>
        <w:t>Du point de vue psychiatrique, l’expertise psychiatrique du BEM du Dr Q______, fondée sur toutes les pièces du dossier, comprenant une anamnèse, la description des plaintes de la recourante, le traitement prodigué, des constatations objectives, un status psychiatrique et une appréciation de la capacité de travail, répond prima facie aux réquisits jurisprudentiels pour qu’il lui soit reconnu une pleine valeur probante. La recourante fait valoir les avis de la Dre C______ des 23 novembre 2024 et 16 juin 2025 pour contester cette évaluation. Cette expertise présente toutefois une motivation peu claire du diagnostic non incapacitant retenu et peu convaincante lorsqu’elle qualifie la recourante de peu authentique.</w:t>
      </w:r>
    </w:p>
    <w:p>
      <w:r>
        <w:rPr>
          <w:b/>
        </w:rPr>
        <w:t>E. 6.2.1</w:t>
      </w:r>
    </w:p>
    <w:p>
      <w:r>
        <w:t>S’agissant du diagnostic de troubles mentaux du comportement lié à l’utilisation d’alcool, usage nocif pour la santé, l’expert Q______ explique en effet qu’il n’est jamais évoqué dans le dossier, que le dosage révèle une faible consommation et qu’aucun élément en faveur d’un syndrome de sevrage n’est présent (expertise psychiatrique, p. 31). À l’anamnèse psychiatrique, l’expert mentionne que la recourante dit avoir arrêté l’alcool, incompatible avec ses traitements (expertise psychiatrique, p. 27). Nonobstant ces éléments, l’expert Q______ considère que la recourante a caché sa consommation d’alcool à l’anamnèse (expertise psychiatrique, pp. 31-32), ce que la Dre C______ conteste, en relevant que le résultat du dosage (Peth) pouvait s’expliquer par une consommation d’alcool par le biais de médicaments. La chambre de céans constate à cet égard que l’expert E______ avait mentionné qu’au niveau des consommations, l’assurée avait consommé d’avantage d’alcool depuis la mort de son père en 1995, et notamment après sa rupture affective en 2000 (une bouteille de vin, quelques verres d’alcool fort et 2 bières par jour). L’assurée relevait que cette consommation s’était arrêtée complètement en 2006-2007. Actuellement, elle n’avait aucune consommation d’alcool (expertise du Dr E______ du 19 décembre 2016, p. 5). Il relevait que la recourante ne présentait pas de signe de consommation de substance psychoactive (expertise du Dr E______ du 19 décembre 2016, p. 9). Quant à l’expert du SMR, il avait, dans le même sens, relevé qu’après une consommation excessive entre 2000 et 2006, la recourante était complétement abstinente depuis cette date. Il a précisé que concernant la consommation d’alcool et le diagnostic de troubles mentaux et du comportement en lien avec son utilisation, il n’était plus d’actualité depuis plusieurs années. La consommation d’alcool excessive l’avait été de manière réactionnelle au décès du père de l’assurée, puis à une rupture sentimentale. Il s’agissait d’une sorte d’automédication pour faire face à une situation émotionnellement insupportable et anxiogène. La consommation de l’époque était donc à considérer comme secondaire. Ce diagnostic ne présentait pas de caractère incapacitant (expertise du SMR du 22 août 2019, p. 19). La chambre de céans constate que l’expert O______ avait exclu des symptômes actuels de consommation de substances, en ne relevant que des antécédents existentiels (expertise du Dr O______ du 2 mai 2023, pp. 8 et 18). Enfin, la Dre C______, qui suit la recourante depuis 2009, a contesté une rechute de consommation d’alcool depuis l’arrêt de celle-ci en 2006 (avis de la Dre C______ du 23 novembre 2024). Au demeurant, l’expert Q______ n’a pas tenu compte des pièces médicales présentes au dossier attestant d’une abstinence depuis 2006 et ne fait pas état d’une rechute de consommation d’alcool qui expliquerait le diagnostic qu’il retient. Son analyse est incomplète, ce d’autant que si, comme il l’allègue, une consommation d’alcool cachée par la recourante, était à nouveau présente, il pourrait s’agir d’un élément en faveur d’une aggravation de l’état de santé psychique de la recourante, que le Dr Q______ aurait dû discuter.</w:t>
      </w:r>
    </w:p>
    <w:p>
      <w:r>
        <w:rPr>
          <w:b/>
        </w:rPr>
        <w:t>E. 6.2.2</w:t>
      </w:r>
    </w:p>
    <w:p>
      <w:r>
        <w:t>L’expert Q______ estime par ailleurs que la recourante est peu authentique (expertise, p. 39). Or, l’expert O______ a jugé la recourante authentique (expertise, p. 16). Quant à l’expert E______, il n’a pas souligné d’incohérence ou de manque d’authenticité. S’agissant de l’expert du SMR, il a relevé qu’il y avait une bonne cohérence entre les symptômes, le comportement et les activités de la vie quotidienne (expertise du SMR du 22 août 2019, p. 19). Enfin, la Dre C______ a indiqué que la recourante était authentique. L’appréciation isolée de l’expert Q______ quant au caractère peu authentique de la recourante n’est ainsi pas convaincante.</w:t>
      </w:r>
    </w:p>
    <w:p>
      <w:r>
        <w:rPr>
          <w:b/>
        </w:rPr>
        <w:t>E. 6.2.3</w:t>
      </w:r>
    </w:p>
    <w:p>
      <w:r>
        <w:t>Enfin, l’évaluation de l’expert Q______ est sérieusement remise en question par l’appréciation de la psychiatre traitante de la recourante, laquelle relève, dans son dernier rapport du 16 juin 2025, des éléments anxieux et dépressifs au premier plan, des troubles du sommeil majeurs, des ruminations incessantes, un repli personnel et social avec une vie social inexistante, conduisant à une incapacité de travail totale de la recourante.</w:t>
      </w:r>
    </w:p>
    <w:p>
      <w:r>
        <w:rPr>
          <w:b/>
        </w:rPr>
        <w:t>E. 6.3</w:t>
      </w:r>
    </w:p>
    <w:p>
      <w:r>
        <w:t>Au vu de ce qui précède, une pleine valeur probante ne peut être reconnue au rapport d’expertise du Dr Q______. Une éventuelle aggravation significative de l’état de santé psychique de la recourante, depuis le 23 juin 2021, doit être investiguée.</w:t>
      </w:r>
    </w:p>
    <w:p>
      <w:r>
        <w:rPr>
          <w:b/>
        </w:rPr>
        <w:t>E. 7</w:t>
      </w:r>
    </w:p>
    <w:p>
      <w:r>
        <w:t>Le recours sera partiellement admis, la décision litigieuse annulée et la cause renvoyée à l’intimé pour la mise sur pied d’une expertise psychiatrique auprès d’un nouvel expert. Au vu du sort du recours, il y a lieu de condamner l’intimée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