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A/1979/2022 vom 15. Mai 2023</w:t>
      </w:r>
    </w:p>
    <w:p>
      <w:r>
        <w:t>GE Cour de justice, 2023-05-15, FR</w:t>
      </w:r>
    </w:p>
    <w:p>
      <w:r>
        <w:rPr>
          <w:b/>
        </w:rPr>
        <w:t xml:space="preserve">Quelle: </w:t>
      </w:r>
      <w:r>
        <w:t>https://mcp.opencaselaw.ch/entscheid/ge_gerichte_A_1979_2022</w:t>
      </w:r>
    </w:p>
    <w:p>
      <w:r>
        <w:t>FR: GE_GERICHTE A/1979/2022 du 15 mai 2023</w:t>
      </w:r>
    </w:p>
    <w:p>
      <w:r>
        <w:t>IT: GE_GERICHTE A/1979/2022 del 15 maggio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).![endif]&gt;![if&gt; 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Cela étant, conformément aux principes de droit intertemporel, en cas de changement de règles de droit, la législation applicable est en principe celle en vigueur au moment où les faits juridiquement déterminants se sont produits (ATF 144 V 210 consid. 4.3.1). Partant, les dispositions topiques seront citées dans leur ancienne teneur.</w:t>
      </w:r>
    </w:p>
    <w:p>
      <w:r>
        <w:rPr>
          <w:b/>
        </w:rPr>
        <w:t>E. 3</w:t>
      </w:r>
    </w:p>
    <w:p>
      <w:r>
        <w:t>Déposé dans les forme et délai prévus par la loi (art. 56ss LPGA), le recours est recevable.![endif]&gt;![if&gt;</w:t>
      </w:r>
    </w:p>
    <w:p>
      <w:r>
        <w:rPr>
          <w:b/>
        </w:rPr>
        <w:t>E. 4</w:t>
      </w:r>
    </w:p>
    <w:p>
      <w:r>
        <w:t>Le litige, tel que circonscrit par la décision, porte sur le droit de la recourante à des prestations d’invalidité.![endif]&gt;![if&gt;</w:t>
      </w:r>
    </w:p>
    <w:p>
      <w:r>
        <w:rPr>
          <w:b/>
        </w:rPr>
        <w:t>E. 5</w:t>
      </w:r>
    </w:p>
    <w:p>
      <w:r>
        <w:t>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L’art. 8 al. 3 let. b LAI dispose que les mesures de réadaptation comprennent les mesures d’ordre professionnel (orientation professionnelle, formation professionnelle initiale, reclassement, placement, aide en capital).![endif]&gt;![if&gt;</w:t>
      </w:r>
    </w:p>
    <w:p>
      <w:r>
        <w:rPr>
          <w:b/>
        </w:rPr>
        <w:t>E. 5.1</w:t>
      </w:r>
    </w:p>
    <w:p>
      <w:r>
        <w:t>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En règle générale, l'intéressé n'a droit qu'aux mesures nécessaires, propres à atteindre le but de réadaptation visé, mais non à celles qui seraient les meilleures dans son cas (ATF 139 V 399 consid. 5.4). ![endif]&gt;![if&gt;</w:t>
      </w:r>
    </w:p>
    <w:p>
      <w:r>
        <w:rPr>
          <w:b/>
        </w:rPr>
        <w:t>E. 5.2</w:t>
      </w:r>
    </w:p>
    <w:p>
      <w:r>
        <w:t>Le Tribunal fédéral a jugé que lorsque le marché du travail offre un éventail suffisamment large d'activités légères, dont un nombre significatif sont adaptées à l'état de santé de l'assuré et accessibles sans formation particulière, il n'existe guère d'obstacle à l'exercice d'un emploi adapté, de sorte que l'octroi d'une mesure d'orientation professionnelle apparaît superflu (arrêt du Tribunal fédéral 9C_534/2010 du 10 février 2011 consid. 4.3).![endif]&gt;![if&gt;</w:t>
      </w:r>
    </w:p>
    <w:p>
      <w:r>
        <w:rPr>
          <w:b/>
        </w:rPr>
        <w:t>E. 5.3</w:t>
      </w:r>
    </w:p>
    <w:p>
      <w:r>
        <w:t>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par exemple si, en raison de sa surdité ou de son manque de mobilité, l'assuré ne peut avoir un entretien d'embauche ou est dans l'incapacité d'expliquer à un employeur potentiel ses possibilités réelles et ses limites (arrêt du Tribunal fédéral 9C_859/2010 du 9 août 2011 consid. 2.2).![endif]&gt;![if&gt;</w:t>
      </w:r>
    </w:p>
    <w:p>
      <w:r>
        <w:rPr>
          <w:b/>
        </w:rPr>
        <w:t>E. 5.4</w:t>
      </w:r>
    </w:p>
    <w:p>
      <w:r>
        <w:t>Il faut que l'invalidité soit d'une certaine gravité pour que le droit à des mesures de réadaptation soit ouvert. La jurisprudence a ainsi fixé le seuil d'invalidité à partir duquel des mesures de réadaptation doivent être octroyées à 20% (ATF 130 V 488 consid. 4.2 ; ATF 124 V 108 consid. 3a).![endif]&gt;![if&gt;</w:t>
      </w:r>
    </w:p>
    <w:p>
      <w:r>
        <w:rPr>
          <w:b/>
        </w:rPr>
        <w:t>E. 6</w:t>
      </w:r>
    </w:p>
    <w:p>
      <w:r>
        <w:t>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moins.![endif]&gt;![if&gt;</w:t>
      </w:r>
    </w:p>
    <w:p>
      <w:r>
        <w:rPr>
          <w:b/>
        </w:rPr>
        <w:t>E. 7</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  ![endif]&gt;![if&gt;</w:t>
      </w:r>
    </w:p>
    <w:p>
      <w:r>
        <w:rPr>
          <w:b/>
        </w:rPr>
        <w:t>E. 8</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w:t>
      </w:r>
    </w:p>
    <w:p>
      <w:r>
        <w:rPr>
          <w:b/>
        </w:rPr>
        <w:t>E. 8.1</w:t>
      </w:r>
    </w:p>
    <w:p>
      <w:r>
        <w:t>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![endif]&gt;![if&gt;</w:t>
      </w:r>
    </w:p>
    <w:p>
      <w:r>
        <w:rPr>
          <w:b/>
        </w:rPr>
        <w:t>E. 8.2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9C_284/2020 du 8 juillet 2020 consid. 2.2).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du Tribunal fédéral 9C_238/2008 du 5 janvier 2009 consid. 3). ![endif]&gt;![if&gt;</w:t>
      </w:r>
    </w:p>
    <w:p>
      <w:r>
        <w:rPr>
          <w:b/>
        </w:rPr>
        <w:t>E. 8.3</w:t>
      </w:r>
    </w:p>
    <w:p>
      <w:r>
        <w:t>Pour déterminer le revenu d'invalide de l'assuré, il faut en l'absence d'un revenu effectivement réalisé se référer aux données salariales, telles qu'elles résultent des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![endif]&gt;![if&gt;</w:t>
      </w:r>
    </w:p>
    <w:p>
      <w:r>
        <w:rPr>
          <w:b/>
        </w:rPr>
        <w:t>E. 8.4</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![endif]&gt;![if&gt;</w:t>
      </w:r>
    </w:p>
    <w:p>
      <w:r>
        <w:rPr>
          <w:b/>
        </w:rPr>
        <w:t>E. 8.5</w:t>
      </w:r>
    </w:p>
    <w:p>
      <w:r>
        <w:t>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6.2.3).![endif]&gt;![if&gt;</w:t>
      </w:r>
    </w:p>
    <w:p>
      <w:r>
        <w:rPr>
          <w:b/>
        </w:rPr>
        <w:t>E. 9</w:t>
      </w:r>
    </w:p>
    <w:p>
      <w:r>
        <w:t>En l’espèce, il convient en premier lieu d’examiner la capacité de gain de la recourante.![endif]&gt;![if&gt; Celle-ci a souffert d’une atteinte au genou, dont il n’est pas contesté qu’elle empêche définitivement l’exercice de son activité habituelle de femme de chambre. En revanche, elle disposait d’une pleine capacité de travail dans une activité adaptée, à tout le moins dès novembre 2018 selon son médecin traitant, et ce jusqu’à l’intervention chirurgicale pratiquée en septembre 2019. Cette opération a entraîné une incapacité de travail totale dans toute activité durant six mois, conformément au pronostic du Dr B______, confirmé par un de ses confrères en février 2020. Il ressort également du rapport du Dr C______ de mars 2020 que la reprise d’une activité adaptée – essentiellement assise – était possible à cette date. Il est vrai que le Dr D______ a bien attesté une capacité de travail de 50% dès le 14 décembre 2020. Cela étant, on relèvera que cet arrêt de travail a été établi durant le stage réalisé par la recourante, dans des activités – notamment s’agissant de la blanchisserie – dont on ignore si elles étaient adaptées à ses limitations fonctionnelles, eu égard aux difficultés en lien avec la station debout et les déplacements. Ce seul certificat, non motivé, ne justifie pas que l’on s’écarte des conclusions des précédents médecins. Par ailleurs, les troubles du genou signalés par ce médecin en juin 2021 sont connus, et ils ont été pris en compte pour déterminer les limitations fonctionnelles de la recourante. Quant à l’état anxio-dépressif, que ce médecin qualifie de grave en juin 2021, il n’est pas confirmé par le Dr F______ qui a uniquement diagnostiqué un épisode dépressif moyen, essentiellement réactionnel aux troubles somatiques. Ce psychiatre n’a du reste pas retenu de limitation de la capacité de travail en raison des troubles psychiques dans son rapport du 18 octobre 2021. S’agissant des douleurs dorsales, le SMR a tenu compte des découvertes radiologiques dans les limitations fonctionnelles, et le Dr TSCHOLL semble du reste ne pas avoir retenu d’explication organique claire à ces douleurs dans son courrier du 22 juillet 2021. Dans ses rapports établis par la suite, le Dr D______ n’explique pas pourquoi il s’écarte des précédentes appréciations des médecins, unanimes sur l’exigibilité d’une activité lucrative adaptée, alors même que les diagnostics n’ont guère évolué. S’agissant de l’état psychique, si on peut bien entendu comprendre que la recourante a été affectée par le tragique décès de son fils, le Dr F______ n’a toutefois pas signalé de changement dans le diagnostic ni d’aggravation de la pathologie depuis cet événement, étant souligné que ce psychiatre rapportait déjà un ralentissement dans son premier rapport. Enfin, les conclusions de l’entreprise PRO quant à l’incapacité de la recourante à se réinsérer sur le marché du travail ne sauraient prévaloir sur l’appréciation de sa capacité de travail médico-théorique. En effet, les données médicales permettent généralement une appréciation objective du cas et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De plus, comme on l’a vu, il existe certains doutes quant au caractère adapté des activités exercées par la recourante dans le cadre de son stage, qui pourraient expliquer les difficultés rencontrées dans leur accomplissement. Quant au fait que la recourante n’a plus droit à des indemnités de chômage, il convient de rappeler que l'assurance-invalidité et l'assurance-chômage ne sont pas des branches d'assurance complémentaires, dans le sens qu'un assuré privé de capacité de gain pourrait dans tous les cas invoquer soit l'invalidité soit le chômage (arrêt du Tribunal fédéral 8C_245/2010 du 9 février 2011 consid. 5.3). Partant, la décision de l’OCE n’a guère de portée dans la présente procédure. Compte tenu de ces éléments, force est d’admettre que la recourante est certes définitivement incapable de reprendre son activité habituelle, mais qu’elle ne présente pas d’incapacité de travail dans une activité adaptée – hormis pendant la convalescence de six mois nécessaire après l’intervention réalisée par le Dr B______. Partant, on peut se rallier aux conclusions du SMR retenant une capacité de travail totale dans une activité adaptée depuis toujours, hormis durant la période post-opératoire du 4 septembre 2019 au 4 mars 2020. Compte tenu de ces éléments, la chambre de céans renoncera aux mesures d’instruction requises par la recourante, par appréciation anticipée des preuves (arrêt du Tribunal fédéral 8C_253/2020 du 12 novembre 2020 consid. 3.2).</w:t>
      </w:r>
    </w:p>
    <w:p>
      <w:r>
        <w:rPr>
          <w:b/>
        </w:rPr>
        <w:t>E. 10</w:t>
      </w:r>
    </w:p>
    <w:p>
      <w:r>
        <w:t>Il reste à vérifier le droit aux prestations de la recourante, et en particulier son taux d’invalidité.![endif]&gt;![if&gt;</w:t>
      </w:r>
    </w:p>
    <w:p>
      <w:r>
        <w:rPr>
          <w:b/>
        </w:rPr>
        <w:t>E. 10.1</w:t>
      </w:r>
    </w:p>
    <w:p>
      <w:r>
        <w:t>L’intimé a calculé le degré d’invalidité de la recourante en 2021. Or,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il ne coïncide pas non plus nécessairement avec le moment où l'assuré apprend, pour la première fois, que l'atteinte à sa santé peut ouvrir droit à des prestations d'assurance. Dans le cas d'une rente, l'invalidité est réputée survenue dès que l'assuré a présenté en moyenne, une incapacité de travail de 40% au moins pendant une année sans interruption notable et qu’il est invalide à 40% au moins au terme de cette année, conformément à l’art. 28 LAI (arrêt du Tribunal fédéral 9C_795/2008 du 6 août 2009 consid. 2.1). ![endif]&gt;![if&gt;</w:t>
      </w:r>
    </w:p>
    <w:p>
      <w:r>
        <w:rPr>
          <w:b/>
        </w:rPr>
        <w:t>E. 10.2</w:t>
      </w:r>
    </w:p>
    <w:p>
      <w:r>
        <w:t>Eu égard à ce principe, ce n’est pas en 2021 que doit être examiné le degré d’invalidité, mais en 2019, le délai de carence d’une année depuis le début de l’incapacité de travail prévu à l’art. 28 LAI s’achevant en mai de cette année. ![endif]&gt;![if&gt; En ce qui concerne le revenu après invalidité, on notera que le compte individuel de la recourante affiche un revenu de CHF 50'061.- en 2017. C’est sur ce revenu qu’il convient de se fonder, dès lors qu’il reflète le plus précisément la rémunération de la recourante avant l’atteinte à la santé. Une fois indexé à 2019, ce revenu représente CHF 50'814.- Quant au revenu d’invalidité, c’est à juste titre que l’intimé l’a fixé sur la base de l’ESS en l’absence de revenu effectivement réalisé. S’agissant du recours au tableau TA1_tirage_skill_level, il est également conforme à la jurisprudence. L’argumentation de la recourante, selon laquelle les métiers suggérés par l’intimé à titre d’exemples d’activités adaptées n’y figurent pas, tombe à l’évidence à faux. En effet, ce tableau n’énumère pas les différentes fonctions mais les domaines d’activité, et la ligne Total appliquée dans le cas d’espèce représente la moyenne dans tous ces domaines. S’agissant du tableau T11 que la recourante voudrait appliquer, la jurisprudence a admis son utilisation dans certains cas précis, notamment lorsque l’intéressé a poursuivi des études universitaires (arrêts du Tribunal fédéral 8C_377/2021 du 9 septembre 2021 et 9C_439/2020 du 18 août 2020). La situation de la recourante n’étant pas similaire, on s’en tiendra pour le revenu d’invalide au revenu statistique tiré d’activités simples et répétitives pour une femme selon le TA1_tirage_skill_level, soit CHF 4'371.- par mois et CHF 52'452.- par an en 2018. Ce revenu est de CHF 55'227.- une fois indexé et adapté à la durée normale de travail de 41.7 heures en 2019. L’abattement de 20% appliqué par l’intimé ne prête pas le flanc à la critique au vu des circonstances, notamment des limitations fonctionnelles qui ne sont pas particulièrement étendues et de la pleine capacité de travail de la recourante. Il réduit le revenu après invalidité à CHF 41'420.25. La comparaison des revenus révèle ainsi un degré d’invalidité de 16.6% ou 17%, une fois arrondi selon les règles mathématiques (ATF 130 V 121 consid. 3.2). Ce taux est insuffisant pour ouvrir le droit à une rente.</w:t>
      </w:r>
    </w:p>
    <w:p>
      <w:r>
        <w:rPr>
          <w:b/>
        </w:rPr>
        <w:t>E. 10.3</w:t>
      </w:r>
    </w:p>
    <w:p>
      <w:r>
        <w:t>La recourante a présenté une totale incapacité de gain de septembre 2019 à mars 2020 en raison de l’intervention pratiquée, de sorte que son degré d’invalidité était total durant cette période. ![endif]&gt;![if&gt;</w:t>
      </w:r>
    </w:p>
    <w:p>
      <w:r>
        <w:rPr>
          <w:b/>
        </w:rPr>
        <w:t>E. 10.4</w:t>
      </w:r>
    </w:p>
    <w:p>
      <w:r>
        <w:t>Dès lors que la recourante a recouvré une pleine capacité de travail dans une activité adaptée dès mars 2020, on peut reprendre le calcul du degré d’invalidité dès mai 2019 et le taux d’invalidité de 17% auquel il aboutit. ![endif]&gt;![if&gt;</w:t>
      </w:r>
    </w:p>
    <w:p>
      <w:r>
        <w:rPr>
          <w:b/>
        </w:rPr>
        <w:t>E. 10.5</w:t>
      </w:r>
    </w:p>
    <w:p>
      <w:r>
        <w:t>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 déterminée conformément à l'art. 88a RAI. Conformément à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(arrêt du Tribunal fédéral 9C_134/2015 du 3 septembre 2015 consid. 4.1). ![endif]&gt;![if&gt;</w:t>
      </w:r>
    </w:p>
    <w:p>
      <w:r>
        <w:rPr>
          <w:b/>
        </w:rPr>
        <w:t>E. 10.6</w:t>
      </w:r>
    </w:p>
    <w:p>
      <w:r>
        <w:t>Eu égard aux éléments qui précèdent, la recourante a droit à une pleine rente d’invalidité de septembre 2019 à juin 2020, soit trois mois après la fin de la convalescence, qui s’est achevée en mars 2020 conformément aux conclusions des médecins traitants et du SMR. On notera sur ce point que c’est à tort que l’intimé a mentionné dans son projet de décision une incapacité de travail totale d’octobre 2019 à février 2020 seulement. ![endif]&gt;![if&gt; Dès juillet 2020, le degré d’invalidité est insuffisant pour ouvrir le droit à une rente. Il est également inférieur au seuil ouvrant le droit à des mesures d’ordre professionnel. Par ailleurs, celles-ci n’apparaissent pas indiquées dans le cas d’espèce, au vu des activités possibles sans formation et adaptées aux limitations fonctionnelles sur un marché équilibré du travail, a fortiori dès lors que la recourante n’est pas entravée par son atteinte à la santé dans sa recherche d’emploi. Partant, la décision de l’intimée doit être réformée en ce sens que la recourante a droit à une pleine rente d’invalidité de septembre 2019 à juin 2020, et confirmée pour le surplus.</w:t>
      </w:r>
    </w:p>
    <w:p>
      <w:r>
        <w:rPr>
          <w:b/>
        </w:rPr>
        <w:t>E. 11</w:t>
      </w:r>
    </w:p>
    <w:p>
      <w:r>
        <w:t>Le recours est partiellement admis. ![endif]&gt;![if&gt; La recourante, qui obtient partiellement gain de cause, a droit à des dépens qui seront fixés en l’espèce à CHF 800.- (art. 61 let. g LPGA). La procédure en matière de contestations portant sur des prestations de l’assurance-invalidité étant soumise à des frais judiciaires (art. 69 al. 1 bis LAI), l’intimé supporte l'émolument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