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A/1975/2019 vom 22. Dezember 2020</w:t>
      </w:r>
    </w:p>
    <w:p>
      <w:r>
        <w:t>GE Cour de justice, 2020-12-22, FR</w:t>
      </w:r>
    </w:p>
    <w:p>
      <w:r>
        <w:rPr>
          <w:b/>
        </w:rPr>
        <w:t xml:space="preserve">Quelle: </w:t>
      </w:r>
      <w:r>
        <w:t>https://mcp.opencaselaw.ch/entscheid/ge_gerichte_A_1975_2019</w:t>
      </w:r>
    </w:p>
    <w:p>
      <w:r>
        <w:t>FR: GE_GERICHTE A/1975/2019 du 22 décembre 2020</w:t>
      </w:r>
    </w:p>
    <w:p>
      <w:r>
        <w:t>IT: GE_GERICHTE A/1975/2019 del 22 dicembre 2020</w:t>
      </w:r>
    </w:p>
    <w:p>
      <w:pPr>
        <w:pStyle w:val="Heading2"/>
      </w:pPr>
      <w:r>
        <w:t>Erwägungen</w:t>
      </w:r>
    </w:p>
    <w:p>
      <w:r>
        <w:rPr>
          <w:b/>
        </w:rPr>
        <w:t>E. 2</w:t>
      </w:r>
    </w:p>
    <w:p>
      <w:r>
        <w:t>, cave B et box n o 7______. Cet appartement était loué à un tiers depuis le 1 er juin 1986, conformément au contrat de bail du 10 juin 1986 et aux conclusions d'accord conclues entre le locataire et F______ le 22 novembre 2016. 6) a. En février et mars 2014, F______ a transféré à certains de ses actionnaires la propriété des lots de PPE de l'immeuble correspondant à leurs certificats d'actions. Elle a ainsi notamment transféré le lot de PPE n o 6______ à Mme A______. b.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 depuis lors le département du territoire (ci-après : DT), pour décision sur la question de l'assujettissement ou non à la législation sur les démolitions, transformations et rénovations de maisons d'habitation. c. Par arrêtés du 22 juillet 2015 (VA 8______ à VA 9______, VA 10______ à VA 11______, et VA 12______ à VA 13______), le DT a refusé la délivrance des autorisations d'aliéner sollicitées par C______ concernant les actes de transfert de février et mars 2014, notamment le transfert du lot de PPE n o 6______ à Mme A______. Ces arrêtés ont été confirmés sur recours, notamment interjetés par Mme A______, par le Tribunal administratif de première instance (ci-après : TAPI) le 17 mai 2016 ( JTAPI/488/2016 ), la chambre administrative de la Cour de justice (ci-après : la chambre administrative) le 17 janvier 2017 ( ATA/37/2017 ) et le Tribunal fédéral le 23 novembre 2017 (arrêt du Tribunal fédéral 1C_123/2017 ). 7) Le 25 mai 2018, Mme A______ a conclu une convention de cession du certificat d'actions n o 3______ de F______ avec B______. Le prix de vente était fixé à CHF 123'400-. CHF 15'000.- seraient versés sur le compte de Mme A______ au plus tard le ______ mai 2018. Le solde de CHF 108'400.- serait versé dès entrée en force de l'autorisation du DT. 8) a. Par requête du 6 juin 2018, F______, sur papier à en-tête de C______, a sollicité auprès de l'office cantonal du logement et de la planification foncière (ci-après : OCLPF), rattaché au DT, l'autorisation que Mme A______ cède à B______ le certificat d'actions n o 3______. C______ a réitéré cette demande les 20 août, 3 octobre et 19 octobre 2018. Vu l'arrêt du Tribunal fédéral 1C_123/2017 précité, Mme A______ ne voulait pas rester dans F______. Elle avait trop de « liquidités bloquées par empêchement de financement en SIAL et a[vait] besoin de liquidités ». M. D______ proposait de lui reprendre son certificat d'actions par le biais de sa société B______. S'agissant d'un objet de rendement acquis par une société d'investissement, cet appartement resterait sur le marché locatif. La cession du certificat d'actions ne péjorerait aucunement la situation de l'objet. La pesée des intérêts commandait la délivrance de l'autorisation sollicitée. b. Le 26 mars 2019, le DT a informé Mme A______ du fait que, s'il devait statuer formellement sur ce dossier, il se verrait contraint de rendre une décision de refus. c. Le 2 avril 2019, C______ a sollicité le prononcé d'une décision formelle. 9) Par arrêté du 18 avril 2019 (VA 14______), le DT a refusé de délivrer l'autorisation d'aliéner. Le DT ne pouvait valider une opération subséquente à une opération menée dans le but de violer la législation sur les démolitions, transformations et rénovations de maisons d'habitation. Aucun des motifs d'autorisation n'était réalisé. Mme A______ ne justifiait d'aucun motif permettant de conclure à un intérêt privé prépondérant. 10) Par acte du 22 mai 2019, Mme A______ et B______, représentées par C______, ont recouru auprès du TAPI contre cet arrêté, concluant à son annulation et à la délivrance de l'autorisation d'aliéner. Le DT contraignait la cédante à rester indéfiniment propriétaire de son unique bien dans l'immeuble, dont l'aliénation correspondait à une vente en bloc. Il s'était laissé guider par son ressentiment envers M. D______. La fraude à la loi n'avait porté que sur le fait d'avoir voulu faire inscrire en nom propre certains titulaires de certificats d'action au RF. L'aliénation de l'appartement ne lui ferait pas perdre son affectation locative, vu l'institution même de la SIAL. B______ était une société d'investissement, de sorte qu'il s'agissait simplement d'un investissement supplémentaire et que l'appartement resterait sur le marché locatif. Elle rachetait le certificat d'actions au même prix d'acquisition par Mme A______. Le prix était raisonnable et ne pourrait justifier une augmentation de loyer. La prochaine échéance du bail avec le locataire était au ______ décembre 2027. L'intérêt public n'était pas atteint ou mis en danger. Rien ne justifiait la restriction à la liberté du propriétaire de disposer de son bien. 11) Le 26 juillet 2019, le DT a conclu au rejet du recours. Aucune des configurations dans lesquelles le DT devait délivrer l'autorisation d'aliéner n'était réalisée. Pour préserver la sécurité du droit et la bonne foi des administrées et administrés, le DT ne pouvait plus revenir sur l'aliénation du certificat d'actions n o 3______ à Mme A______, bien qu'elle ait constitué une fraude à la loi. Le souci invoqué, aucunement démontré, n'était pas l'expression d'un intérêt privé prédominant. Mme A______ n'était pas contrainte à garder indéfiniment son bien, pouvant requérir une vente en faveur de F______. M. D______ montrait sa volonté de reprendre la maîtrise du lot considéré au travers d'une société dont il était administrateur, ce qu'il pouvait faire par le biais de F______, déjà propriétaire d'autres lots, évitant une individualisation qui se matérialiserait en cas de vente à B______. Il y avait un intérêt public majeur à ce que le certificat d'actions revienne à F______, de façon à rétablir la situation antérieure aux opérations de fraude à la loi. Le DT avait procédé à la pesée des intérêts en toute objectivité. 12) Le 8 août 2019, Mme A______ et B______ ont maintenu leur recours, soulignant que la législation sur les démolitions, transformations et rénovations de maisons d'habitation ne pouvait autoriser une autorité administrative à imposer à la vendeuse ou au vendeur la personne co-contractante. 13) Les 24 et 27 septembre 2019, le DT, d'une part, ainsi que Mme A______ et B______, d'autre part, ont chacun persisté dans leurs conclusions. 14) Par jugement du 19 mai 2020, notifié au DT le 27 mai 2020, le TAPI a admis le recours, annulé l'arrêté du DT et renvoyé le dossier à ce dernier pour nouvelle décision afin qu'il délivre l'autorisation requise. La motivation de l'arrêté était suffisante. Il n'y avait pas de vente en bloc, Mme A______ possédant un seul lot dans l'immeuble, ni de motifs d'assainissement financier. La requête devait être examinée sous l'angle de la pesée des intérêts. Le transfert n'avait pas pour effet de faire perdre l'affectation locative du logement, la titulaire du certificat d'actions restant légalement une locataire. L'aliénation en cause, qui consistait en un simple changement d'actionnariat, ne permettait pas, d'une manière ou d'une autre, de parachever le processus d'individualisation de l'appartement concerné. Aucune étape supplémentaire n'était franchie dans la poursuite du but de faire sortir l'appartement du marché locatif, l'opération litigieuse ne faisant que répéter, sous l'angle juridique, l'opération lors de laquelle le certificat d'actions était passé de la propriété de F______ à Mme A______. L'intérêt public n'était aucunement atteint par la cession litigieuse, l'opération n'ayant en outre aucun caractère spéculatif. La cédante n'était pas une professionnelle de l'immobilier et n'avait pas compris les enjeux des opérations auxquelles elle avait participé, ni eu conscience qu'elles étaient constitutives d'une fraude à la loi. Le refus d'autorisation d'aliéner la contraignait à rester propriétaire, ce qui entraînait un certain nombre de conséquences juridiques, de responsabilités et d'enjeux financiers dont elle pouvait légitimement vouloir se dégager. Une situation de blocage telle que celle entraînée par l'arrêté litigieux violait manifestement la garantie de la propriété. La loi ne permettait pas d'imposer à la vendeuse ou au vendeur la personne co-contractante, de sorte que le DT ne pouvait conditionner la vente à la seule faveur de F______. L'intérêt privé de la cédante était suffisant pour autoriser l'aliénation. 15) Par acte du 26 juin 2020, le DT a recouru auprès de la chambre administrative contre ce jugement, concluant à son annulation et à la confirmation de son arrêté 18 avril 2019. La cédante n'avait pas démontré être financièrement dans l'urgence de céder ses parts dans la SIAL. L'aliénation du certificat d'actions à une société qui ne détenait aucun autre titre ou logement dans l'immeuble matérialisait une individualisation du logement considéré, faisant courir le risque que ce titre ou ce logement ne soit revendu de façon individualisée par la suite. L'intérêt public était atteint par la cession du certificat d'actions en cause. Le fait que la cédante ne soit pas une professionnelle de l'immobilier ne démontrait pas qu'elle n'avait pas compris les enjeux des opérations et n'avait pas eu conscience qu'elles étaient constitutives d'une fraude à la loi. Vu la particularité de l'opération, dans laquelle une personne prêtait de l'argent à une autre personne pour que celle-ci lui achète quelque chose, il était peu probable que la cédante ait totalement ignoré les enjeux liés aux opérations effectuées. La situation devenait totalement inusuelle au stade considéré, puisque la cédante souhaitait revendre le certificat d'actions appartenant à M. D______, acquis grâce à un emprunt auprès de ce dernier, à une autre société dont M. D______ était également administrateur président. Il s'agissait d'une forme d'opération de passe-passe au sein des avoirs de M. D______ permettant de matérialiser la fraude reconnue par le Tribunal fédéral. Une telle aliénation était contraire au but poursuivi par la loi. Le procédé d'individualisation, issu à l'origine de la fraude reconnue par le Tribunal fédéral, se perpétuerait par l'aliénation projetée. La cédante n'était pas contrainte de garder indéfiniment son bien, puisqu'elle pourrait requérir une vente en faveur de F______, réparant ainsi la fraude à la loi. Aucun motif d'intérêt privé, de la cédante ou de la cessionnaire, ne pouvait l'emporter sur l'intérêt public et général visant à préserver l'affectation locative du logement. 16) Par réponse du 17 juillet 2020, Mme A______ et B______ ont conclu à l'irrecevabilité du recours, subsidiairement à son rejet, et à la condamnation du DT aux dépens. Préalablement, elles demandaient la production par le DT des cinquante dernières décisions favorables d'octroi d'une autorisation d'aliéner un appartement. Elles ont maintenu l'argumentation développée précédemment, sous réserve de celle relative à la vente en bloc, abandonnée. Le délai de recours arrivait à échéance le 25 juin 2020, de sorte que le recours était tardif et irrecevable. Les griefs souffraient d'un défaut de motivation, conduisant à leur irrecevabilité et à celle du recours. Le DT délivrait de nombreuses autorisations d'aliéner un seul appartement en y insérant une clause réservant une prochaine aliénation sur la base de l'autorisation ainsi accordée. Si le TAPI avait entendu Mme A______, le DT en aurait déduit, comme dans les procédures parallèles concernant la cession d'autres certificats d'actions, que cette dernière n'était pas une professionnelle de l'immobilier, n'avait pas compris les enjeux et n'avait pas eu conscience de l'existence d'une fraude à la loi. 17) Par réplique du 21 août 2020, le DT a maintenu ses conclusions. La vente apparaissait comme une opération spéculative ou purement commerciale, intérêt qui n'était pas prépondérant. Le but initial était de faire sortir l'appartement du marché locatif. La fraude se perpétuerait par l'aliénation projetée. L'institution de la SIAL n'empêchait pas la perte de l'affectation locative, puisque cette forme était analogue à la PPE. Le nombre considérable d'appartements situés dans l'immeuble visés par des ventes d'actions de F______ à différentes personnes physiques et morales dont l'ayant droit économique était M. D______ démontrait une volonté de démanteler l'immeuble et, par conséquent, le parc locatif genevois. 18) Sur ce, la cause a été gardée à juger. EN DROIT 1) Interjeté en temps utile et devant la juridiction compétente, le recours est de ces points de vue recevable (art. 132 de la loi sur l'organisation judiciaire du 26 septembre 2010 - LOJ - E 2 05 ; art. 62 al. 1 let. a de la loi sur la procédure administrative du 12 septembre 1985 - LPA - E 5 10). 2) Les intimées contestent la recevabilité du recours, qui ne serait pas suffisamment motivé.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 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permettant à la chambre de céans de déterminer clairement l'objet du litige et aux intimées de répondre aux griefs soulevés, ces dernières ayant d'ailleurs développé leur réponse sur une quinzaine de pages. Le recours est pas conséquent suffisamment motivé et sera déclaré recevable. 3) Le litige porte sur la conformité au droit du jugement du TAPI annulant l'arrêté de l'autorité recourante et ordonnant à cette dernière de délivrer l'autorisation sollicitée, soit d'autoriser Mme A______ à céder à B______ le certificat d'actions n o 3______ de F______, conférant le droit de louer l'appartement n o 6______. 4) Les intimées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intimées.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ATF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 o 3______, emportant le droit de louer l'appartement n o 6______, à la cessionnaire et ceux de cette dernière à l'acquérir ainsi que, d'autre part, l'intérêt public à la protection du parc locatif genevois. Le TAPI a retenu que la cédante n'avait pas démontré de réelle urgence à se défaire du certificat d'actions,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 b. Mme A______ a fait valoir, à l'appui de sa requête en autorisation d'aliéner, sa volonté de ne pas rester dans la SIAL suite à l'arrêt du Tribunal fédéral 1C_123/2017 précité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la loi. Mme A______ était partie à la procédure qui a donné lieu à l'arrêt du Tribunal fédéral 1C_123/2017 précité, de sorte que la constatation de fraude à la loi intervenue dans cette procédure lui est directement opposable. Par ailleurs, l'acte de cession de 2012 mentionnait déjà la future modification des statuts, qui, lorsqu'elle est intervenue, a directement lié le certificat d'actions n o 3______ au lot de PPE n o 6______, alors même que l'immeuble n'était pas encore soumis au régime de la PPE. En outre, le même acte de cession prévoyait que l'échéance du « prêt vendeur », soit du prêt accordé par M. D______, était fixée au ______ décembre 2013, ce qui instaurait dans les faits un paiement en deux temps : le premier lors de la conclusion de l'acte de cession et le second à l'issue d'une période laissant le temps de transformer la société en SIAL, soumettre l'immeuble au régime de la PPE et liquider la SIAL après transfert des parts de PPE aux actionnaires. Le prêt n'est ainsi en lui-même qu'un indice de plus de la fraude à la loi, puisque, dans le montage tel que prévu initialement, il permettait aux protagonistes d'instaurer dans les faits le paiement en deux temps mais également à M. D______ de rester économiquement propriétaire des actions durant la période permettant de procéder aux étapes suivantes du montage mis sur pied. Ceci démontre que, contrairement à ce qu'a retenu l'instance précédente, la cédante n'était pas en marge du système mis en place mais y a participé dès la conclusion de la première cession. Le fait que Mme A______ souhaite vendre en raison de l'arrêt du Tribunal fédéral 1C_123/2017 précité, et donc en raison du fait qu'elle ne peut devenir propriétaire de la part de PPE, ne fait d'ailleurs que confirmer qu'elle avait initialement acheté les actions dans le but de devenir, à terme, propriétaire de l'appartement, ceci alors même qu'il ne s'agissait alors pas d'acheter une part de PPE, ni même des actions dans une SIAL, mais simplement les actions d'une société propriétaire d'un immeuble, puisque F______ a été transformée en SIAL postérieurement à l'achat des actions. Dans ce contexte, l'intérêt de Mme A______ à sortir d'un système dans lequel elle est sciemment entrée, et mis en place afin de contourner la loi, ne peut en tant que tel être protégé. Quant au prétendu besoin de liquidités, Mme A______ n'a apporté aucune substance à son allégation. Elle n'a ainsi pas démontré l'état de sa situation financière ni expliqué pourquoi elle aurait besoin de ces liquidités. Au vu de ce qui précède, les intérêts évoqués n'ont pas de substance et la cédante n'a pas établi d'autres intérêts que sa pure convenance personnelle pour justifier sa volonté d'aliéner l'appartement. Il sera à cet égard constaté que les deux intérêts invoqués par Mme A______ dans sa requête en 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 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 de F______ (recte : M. D______) à Mme A______, puisque F______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vente des actions entre avril et juillet 2012, transformation en SIAL le 19 juillet 2012, mise en PPE de l'immeuble le 31 août 2012 et transfert des lots de PPE en février et mars 2014 - faisait apparaître qu'il s'agissait d'un montage mis sur pied dès l'origine (arrêt du Tribunal fédéral 1C_123/2017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 Comme le souligne l'autorité recourante, le caractère insolite de l'ensemble des opérations est d'autant plus confirmé dans le cas d'espèce par l'omniprésence de M. D______. En effet, Mme A______ a contracté un prêt auprès de M. D______ pour acheter à M. D______ des actions d'une première société dont M. D______ est administrateur président, F______, et qui a son siège auprès d'une deuxième société, C______, dont M. D______ est également administrateur président. Mme A______ souhaite à présent revendre les actions de la première société, F______, après sa transformation en SIAL, à une troisième société dont M. D______ est aussi administrateur président, B______, et qui a également son siège auprès de C______, les deux parties se faisant de plus représenter, dans le cadre du litige sur l'autorisation d'aliéner, par C______. La requête en autorisation d'aliéner indique expressément qu'il s'agit en réalité d'une ré-acquisition par M. D______, par l'intermédiaire de l'une de ses sociétés.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Il n'est au surplus pas établi que Mme A______ serait devenue locataire. En effet, son statut d'actionnaire de la SIAL lui confère le droit de louer l'appartement mais non l'obligation de le faire et les conclusions d'accord figurant au dossier, postérieures à la première cession et à la transformation en SIAL, ont été conclues entre le locataire et F______, et non Mme A______. Le montage mis sur pied pour aboutir finalement, sans intérêt privé prépondérant, à l'individualisation de l'appartement, n'est que confirmé par la proximité temporelle avec laquelle d'autres actionnaires de la SIAL et d'une autre SIAL également liée à M. D______, qui a fait l'objet de l'arrêt du Tribunal fédéral 1C_124/2017 du 23 novembre 2017, ont également sollicité des autorisations d'aliéner leurs certificats d'actions, toujours à des sociétés ayant des liens avec M. D______. Comme relevé par le TAPI, ces demandes ont également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en 2012, et non à F______. Pour le reste, s'il ne revient pas à l'autorité recourante, ni à la chambre de céans de trouver la solution permettant à la cédante de sortir de la situation dans laquelle elle se retrouve du fait même de la tentative de fraude à la loi, il sera relevé que le rétablissement de la situation initiale apparaît d'autant plus aisé que M. D______ a lui-même financé la cession initiale de 2012.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jugement du TAPI sera annulé et l'arrêté sera rétabli. 12) Vu l'issue du litige, un émolument de CHF 2'000.- sera mis à la charge solidaire des intimées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