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A/1969/2008 vom 13. August 2008</w:t>
      </w:r>
    </w:p>
    <w:p>
      <w:r>
        <w:t>GE Cour de justice, 2008-08-13, FR</w:t>
      </w:r>
    </w:p>
    <w:p>
      <w:r>
        <w:rPr>
          <w:b/>
        </w:rPr>
        <w:t xml:space="preserve">Quelle: </w:t>
      </w:r>
      <w:r>
        <w:t>https://mcp.opencaselaw.ch/entscheid/ge_gerichte_A_1969_2008</w:t>
      </w:r>
    </w:p>
    <w:p>
      <w:r>
        <w:t>FR: GE_GERICHTE A/1969/2008 du 13 août 2008</w:t>
      </w:r>
    </w:p>
    <w:p>
      <w:r>
        <w:t>IT: GE_GERICHTE A/1969/2008 del 13 agosto 2008</w:t>
      </w:r>
    </w:p>
    <w:p>
      <w:pPr>
        <w:pStyle w:val="Heading2"/>
      </w:pPr>
      <w:r>
        <w:t>Regeste</w:t>
      </w:r>
    </w:p>
    <w:p>
      <w:r>
        <w:t>Insaisissabilité. | La voiture utilisée par le plaignant failli fait l'objet d'un contrat de leasing qu'il n'a signé qu'en qualité de débiteur solidaire. C'est donc à bon droit que l'Office des faillites a sommé le failli de lui remettre ledit véhicule. | LP.92; LP.197.1; 222.1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La plainte doit être déposée dans les dix jours de celui où le plaignant a eu connaissance de la mesure (art. 17 al. 2 LP). En l'espèce, la plainte a été formée dans le délai et les formes prescrites (art. 13 al. 1 et 2 laLP) contre une décision de l'Office impartissant au plaignant, déclaré en faillite, de restituer le véhicule immatriculé en son nom. Elle sera donc déclarée recevable.</w:t>
      </w:r>
    </w:p>
    <w:p>
      <w:r>
        <w:rPr>
          <w:b/>
        </w:rPr>
        <w:t>E. 2</w:t>
      </w:r>
    </w:p>
    <w:p>
      <w:r>
        <w:t>Il sied préalablement de relever que la réquisition de continuer la poursuite dirigée contre le plaignant est antérieure au 1 er janvier 2008 - la commination de faillite ayant été notifiée le 21 novembre 2007 - date à laquelle l'abrogation de l'art. 39 al. 1 ch. 5 LP a pris effet. En sa qualité d'associé gérant d'une société à responsabilité limitée, l'intéressé était donc sujet à la poursuite par voie de faillite, aucune des exceptions prévues à l’art. 43 LP n’étant au demeurant réalisée.</w:t>
      </w:r>
    </w:p>
    <w:p>
      <w:r>
        <w:rPr>
          <w:b/>
        </w:rPr>
        <w:t>E. 3</w:t>
      </w:r>
    </w:p>
    <w:p>
      <w:r>
        <w:t>En l'espèce, l'Office a enjoint le plaignant à mettre à sa disposition le véhicule immatriculé en son nom, retenant que ce bien n'était pas insaisissable au sens de l'art. 92 LP. A ce stade, il sera observé que le plaignant n'exerce aucune activité lucrative et qu'il n'a démontré ni la réalité du traitement médical qu'il déclare suivre, ni, a fortiori , le caractère indispensable d'un véhicule, partant l'impossibilité, voire son incapacité de se rendre à l'hôpital au moyen des transports publics (cf. art. 92 ch. 1 et 3 LP). La décision de l'Hospice général relative à l'octroi de prestations en sa faveur ne fait, par ailleurs, état d'aucuns frais relatifs à de tels déplacements. Cela étant, postérieurement à sa décision, l'Office a appris que cette voiture faisait l'objet d'un contrat de leasing conclu le 16 juin 2007 pour une durée de 49 mois par R______ SA, preneur, dont le plaignant était administrateur, et P______ SA, et que le failli n'a signé qu'en qualité de débiteur solidaire. Il appert donc que le plaignant n'est ni propriétaire de ce véhicule, ni même preneur dudit leasing.</w:t>
      </w:r>
    </w:p>
    <w:p>
      <w:r>
        <w:rPr>
          <w:b/>
        </w:rPr>
        <w:t>E. 4</w:t>
      </w:r>
    </w:p>
    <w:p>
      <w:r>
        <w:t>Manifestement infondée et à la limite de la témérité (cf. art. 20a al. 2 ch. 5 LP), la plainte sera rejetée. * * * * * PAR CES MOTIFS, LA COMMISSION DE SURVEILLANCE SIÉGEANT EN SECTION : A la forme : Déclare recevable la plainte formée le 4 juin 2008 par M. B______ contre la décision de l'Office des faillites du 29 mai 2008 dans le cadre de la faillite du précité (n° 2008 xxxx94 H). Au fond : 1. La rejette. 2. Déboute les parties de toutes autres conclusions. Siégeant : Mme Ariane WEYENETH, présidente ; M. Didier BROSSET et M. Philipp GANZONI,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