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A/1963/2014 vom 12. Februar 2016</w:t>
      </w:r>
    </w:p>
    <w:p>
      <w:r>
        <w:t>GE Cour de justice, 2016-02-12, FR</w:t>
      </w:r>
    </w:p>
    <w:p>
      <w:r>
        <w:rPr>
          <w:b/>
        </w:rPr>
        <w:t xml:space="preserve">Quelle: </w:t>
      </w:r>
      <w:r>
        <w:t>https://mcp.opencaselaw.ch/entscheid/ge_gerichte_A_1963_2014</w:t>
      </w:r>
    </w:p>
    <w:p>
      <w:r>
        <w:t>FR: GE_GERICHTE A/1963/2014 du 12 février 2016</w:t>
      </w:r>
    </w:p>
    <w:p>
      <w:r>
        <w:t>IT: GE_GERICHTE A/1963/2014 del 12 febbraio 2016</w:t>
      </w:r>
    </w:p>
    <w:p>
      <w:pPr>
        <w:pStyle w:val="Heading2"/>
      </w:pPr>
      <w:r>
        <w:t>Erwägungen</w:t>
      </w:r>
    </w:p>
    <w:p>
      <w:r>
        <w:rPr>
          <w:b/>
        </w:rPr>
        <w:t>E. 32</w:t>
      </w:r>
    </w:p>
    <w:p>
      <w:r>
        <w:t>x CHF 464.75 CHF 14'872.- + 30% pour prendre en compte les spécificités du cabinet : CHF 19'333.60 Chiffre d’affaires de la défenderesse sur la base d’un indice de 649 : CHF 96'520.- _____________________________________________________________________ Différence : CHF 77'186.40 Il n'y a toutefois pas lieu d'examiner plus avant les répercussions de cette erreur, dans la mesure où la correction des calculs conduit, comme on vient de le voir, à un résultat manifestement plus défavorable pour la défenderesse (soit CHF : 77'186.40 au lieu de CHF 56'937.-). En effet, le Tribunal de céans ne saurait statuer ultra petita (art. 69 al. 1 LPA par analogie), étant précisé que la reformatio in pejus prévue par l’art. 61 let. LPGA n’est pas applicable à la procédure auprès du Tribunal arbitral cantonal en l’occurrence, en vertu de l’art. 1 al. 2 let. e LAMal). 11.2 Le Tribunal s’en tiendra donc aux montants tels que calculés par les demanderesses, dont la quotité n’a par ailleurs pas été contestée par la défenderesse. Par ailleurs, comme l'a rappelé le Tribunal fédéral dans l’ATF 137 V 43 précité, il convient encore d'examiner la question de l'économicité, sur la base d'une vision globale de la pratique médicale du médecin concerné, soit au regard de l'ensemble des coûts directs et indirects. En l'occurrence, on ne saurait retenir que la pratique du défendeur serait conforme au principe d'économicité, dans la mesure où le dépassement admissible des coûts directs engendrés en 2011, 2012 et 2013 n’est pas compensé en l’occurrence par des coûts indirects, respectivement des coûts globaux, qui seraient dans la moyenne, voire inférieurs à celle-ci, puisque l’indice de ces derniers était, ces années-là, de 317, respectivement de 314 et 253. 11.3En 2012, selon le calcul opéré par les demanderesses, la défenderesse a présenté un indice des coûts par malade (directs et indirects) de 314 et ses coûts directs se sont élevés à CHF 111'361.-. Compte tenu de la marge de tolérance de 30%, le montant maximum admissible à la charge de l’assurance-obligatoire s’élevait ainsi CHF 46'104.- (CHF 111'361 x 130 : 314). Le dépassement en coûts directs s’élève donc à CHF 65'256.- (CHF 111'361 – CHF 46'104) pour 2012. En 2013, la défenderesse a présenté un indice des coûts par malade (directs et indirects) de 253 et ses coûts directs se sont élevés à CHF 82’681.-. Compte tenu de la marge de tolérance de 30%, le montant maximum admissible à la charge de l’assurance-obligatoire s’élevait ainsi CHF 42’484.- (CHF 82’681 x 130 : 253). Le dépassement en coûts directs s’élève donc à CHF 40’197.- (CHF 82’681 – CHF 42’484) pour 2013. 12.    En référence au courrier de son mandataire du 29 janvier 2016, le Tribunal de céans – qui ne peut statuer en opportunité (art. 45 al. 4 LaLAMal et art. 61 al. 2 LPA - tient à souligner que le présent arrêt ne remet pas en cause l’éthique professionnelle de la défenderesse, ni la qualité des prestations fournies à ses patients.![endif]&gt;![if&gt; 13.    La procédure par-devant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CHF 15'000.-. Le Tribunal fixe le montant des frais et décide quelle partie doit les supporter (cf. art. 46 al. 2 LaLAMal). ![endif]&gt;![if&gt; Succombant, la défenderesse supportera les frais judiciaires, réduits afin de tenir compte de sa situation financière qui n'apparaît pas favorable, arrêtés à CHF 1’500.-. Elle sera également condamnée à verser aux demanderesses, prises conjointement et solidairement, une indemnité de CHF 2’500.- à titre de participation à leurs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