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A/1957/2004 vom 17. Mai 2005</w:t>
      </w:r>
    </w:p>
    <w:p>
      <w:r>
        <w:t>GE Cour de justice, 2005-05-17, FR</w:t>
      </w:r>
    </w:p>
    <w:p>
      <w:r>
        <w:rPr>
          <w:b/>
        </w:rPr>
        <w:t xml:space="preserve">Quelle: </w:t>
      </w:r>
      <w:r>
        <w:t>https://mcp.opencaselaw.ch/entscheid/ge_gerichte_A_1957_2004</w:t>
      </w:r>
    </w:p>
    <w:p>
      <w:r>
        <w:t>FR: GE_GERICHTE A/1957/2004 du 17 mai 2005</w:t>
      </w:r>
    </w:p>
    <w:p>
      <w:r>
        <w:t>IT: GE_GERICHTE A/1957/2004 del 17 maggio 2005</w:t>
      </w:r>
    </w:p>
    <w:p>
      <w:pPr>
        <w:pStyle w:val="Heading2"/>
      </w:pPr>
      <w:r>
        <w:t>Regeste</w:t>
      </w:r>
    </w:p>
    <w:p>
      <w:r>
        <w:t>; AI(ASSURANCE) ; PROTHÈSE DE L'OEIL ; RESPONSABILITÉ DE L'ÉTAT ; RESPONSABILITÉ DE L'INSTITUTION D'ASSURANCE ; RESPONSABILITÉ FONDÉE SUR LE DROIT PUBLIC ; ASSURANCE DONNÉE ; FAUSSE INDICATION ; INFORMATION(EN GÉNÉRAL) ; RENSEIGNEMENT ERRONÉ ; CONVENTION TARIFAIRE ; TARIF(EN GÉNÉRAL) | LPGA27</w:t>
      </w:r>
    </w:p>
    <w:p>
      <w:pPr>
        <w:pStyle w:val="Heading2"/>
      </w:pPr>
      <w:r>
        <w:t>Erwägungen</w:t>
      </w:r>
    </w:p>
    <w:p>
      <w:r>
        <w:rPr>
          <w:b/>
        </w:rPr>
        <w:t>E. 2</w:t>
      </w:r>
    </w:p>
    <w:p>
      <w:r>
        <w:t>(...)</w:t>
      </w:r>
    </w:p>
    <w:p>
      <w:r>
        <w:rPr>
          <w:b/>
        </w:rPr>
        <w:t>E. 3</w:t>
      </w:r>
    </w:p>
    <w:p>
      <w:r>
        <w:t>Si un assureur constate qu’un assuré ou ses proches ont droit à des prestations d’autres assurances sociales, il les en informe sans retard ». Cet article de loi, inspiré de la législation allemande, est entièrement nouveau. De l’avis de la doctrine, il ne fait pas que codifier la pratique, mais il réglemente de façon nouvelle le droit des personnes intéressées d’être renseignées et conseillées dans le domaine des assurances sociales fédérales (cf. KIESER, ATSG Kommentar, p. 323 et SPIRRA, Du droit d’être renseigné et conseillé par les assureurs et les organes d’exécution des assurances sociales (art. 27 LPGS), in RSAS 2001, p. 524 et ss).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JOURNEE AIM, « Premiers problèmes d’application de la LPGA », intervention de Monsieur le Juge fédéral Ulrich MEYER, le 7 mai 2004, Lausanne). Le Tribunal fédéral des assurances n’a pas eu l’occasion d’appliquer concrètement cet article, les faits à lui soumis étant pour l’heure encore régis par l’ancien droit, mais il a d’ores et déjà renvoyé, malgré tout, s’agissant de cette question à l’article de SPIRRA cité plus haut (cf. ATFA du 14 mars 2004 cause C 120/02). Dans le cas présent, l’OCAI devra vérifier s’il a failli à son devoir d’information générale au sens de l’alinéa 1 comme à son devoir de conseil au sens de l’alinéa 2, car il a conseillé par écrit à la recourante de s’adresser à l’oculariste E__________, sans lui indiquer les conséquences financières de ce choix, et plutôt que de lui adresser la liste produite en cours de procédure, qui permet aux assurés de choisir en toute connaissance de cause leur oculariste, en fonction du type de prothèse nécessitée et de leur domicile, avec l’indication qu’ils sont ou non conventionnés. Certes en 1997 la convention n’existait pas et l’OCAI remboursait la totalité de la facture. Mais la question se pose de savoir si,dès la conclusion de la convention en juillet 2002, ou dès l’entrée en vigueur de la LPGA, voire à réception de l’instruction de l’OFAS par note du 17 décembre 2003, l’OCAI se devait d’informer les assurés concernés par ce moyen auxiliaire en général, et la recourante en particulier, de l’existence et du contenu de cette convention tarifaire et des ses conséquences en termes de prise en charge. La recourante a en effet subi un dommage puisque la facture de l’oculariste E__________ excède de 3'000 fr. la somme prise en charge par l’AI en application des règles légales. 6.Par conséquent, le recours sera partiellement admis, la décision sur opposition litigieuse sera confirmée au sens des considérants, et le dossier renvoyé à l’OCAI pour décision sur l’action en responsabilité, qu’il est invité à rendre à bref délai.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