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A/1956/2019 vom 15. September 2020</w:t>
      </w:r>
    </w:p>
    <w:p>
      <w:r>
        <w:t>GE Cour de justice, 2020-09-15, FR</w:t>
      </w:r>
    </w:p>
    <w:p>
      <w:r>
        <w:rPr>
          <w:b/>
        </w:rPr>
        <w:t xml:space="preserve">Quelle: </w:t>
      </w:r>
      <w:r>
        <w:t>https://mcp.opencaselaw.ch/entscheid/ge_gerichte_A_1956_2019</w:t>
      </w:r>
    </w:p>
    <w:p>
      <w:r>
        <w:t>FR: GE_GERICHTE A/1956/2019 du 15 septembre 2020</w:t>
      </w:r>
    </w:p>
    <w:p>
      <w:r>
        <w:t>IT: GE_GERICHTE A/1956/2019 del 15 settembre 2020</w:t>
      </w:r>
    </w:p>
    <w:p>
      <w:pPr>
        <w:pStyle w:val="Heading2"/>
      </w:pPr>
      <w:r>
        <w:t>Erwägungen</w:t>
      </w:r>
    </w:p>
    <w:p>
      <w:r>
        <w:rPr>
          <w:b/>
        </w:rPr>
        <w:t>E. 2</w:t>
      </w:r>
    </w:p>
    <w:p>
      <w:r>
        <w:t>; b. largeur comprenant une lisière appropriée : 10 à 12 m ; c. âge du peuplement sur une surface conquise par la forêt : 10 à 20 ans. Les critères quantitatifs que les cantons peuvent fixer, dans les limites de l'art. 1 er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1A.13/2005 du 24 juin 2005 consid. 4.2). A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 c. 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 d. 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2 al. 3, p. 31). e. Ne peuvent ainsi être considérés comme une forêt les groupes ou alignements d'arbres isolés, les haies, les allées, les jardins, les parcs et les espaces verts (art. 2 al. 3 LFo, art. 2 al. 3 let. a et c LForêts). f.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 g. 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 La nature forestière est « dynamique, et seul le constat de terrain permet de décider où se situe la vraie limite forestière » (Groupement des ingénieurs forestiers de Genève, Forêts genevoises : évocation d'un passé récent, Lausanne 2011, p. 45). h. 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 8) En l'espèce, la parcelle du recourant borde le cours d'eau de l'Hermance. S'agissant du critère quantitatif, comme justement relevé par l'intimé, la parcelle n o 2'163 est inscrite au cadastre forestier, conformément au plan daté du 29 avril 2015, dans sa quasi-totalité, puisque seuls le bâtiment (l'ancienne douane) et de petites surfaces non construites de part et d'autres ne sont pas incluses. L'autorité spécialisée, soit l'inspecteur des forêts, l'a, au fil des ans, considérée comme de la forêt, ce qui résulte de ses diverses décisions (autorisation de défrichement, permis de coupe de bois en forêt). Certes, la comparaison des photographies aériennes prises depuis 2005 montre une couverture boisée le long de l'Hermance, et particulièrement sur la parcelle du recourant, de moins en moins dense pour presque disparaître en 2018. Néanmoins, la présence de nombreuses souches, effectivement visibles sur les photographies produites par le recourant, atteste sans conteste de la présence antérieure d'arbres, de sorte que l'autorité spécialisée a pu situer la lisière de la forêt avant l'élimination du peuplement. Or, il ressort de la procédure qu'au fil des ans ont été délivrés uniquement deux permis de coupe portant premièrement sur quatre arbres sur la parcelle du recourant, le 1 er octobre 2007, en exécution d'une autorisation de défrichement, puis, le 28 mai 2015, pour des questions de sécurité, portant sur vingt-cinq arbres sis tant sur la parcelle du recourant que sur d'autres. Comme retenu à juste titre par le TAPI, hormis ces coupes, autorisées, auxquelles s'ajoute celle d'un saule en mars 2020, rien ne laisse à penser que les autres arbres qui n'apparaissent plus sur la parcelle concernée ont été éliminés légalement. Toujours est-il que le sol est resté forestier, ce dont témoignent précisément les souches visibles. Du point de vue qualitatif, l'inspecteur des forêts a jugé les fonctions de « structure paysagère », « biodiversité » et « protection » comme étant significatives alors que celles de « récréation » et « production » sont de peu d'intérêt. Il convient toutefois en application de la doctrine sur le sujet de procéder à une appréciation d'ensemble et de considérer non pas isolément la parcelle du recourant, mais bien la coulisse boisée bordant l'Hermance, allant depuis son entrée dans le village du même nom jusqu'à l'embouchure de la rivière dans le lac Léman, bien visible sur les orthophotos, ce quand bien même ce cordon arboré, ou « couloir vert », pousse sur plusieurs propriétés distinctes et est parfois interrompu. Il n'en représente pas moins aux dires de l'inspecteur des forêts une unité biologique et fonctionnelle, devant être examinée comme un tout. Il convient encore de relever la qualité des espèces répertoriées sur les parcelles en cause, à savoir à 99 % d'espèces indigènes (saule, verne [aulne], tilleul, érable et frêne) de plus de 20 ans. Dans ces conditions, le département doit être suivi lorsqu'il considère que l'intégralité du cordon boisé relevé sur la parcelle de M. ADOR a une nature forestière, ce qui exclut qu'il constitue un parc ou un jardin. Le recourant surprend en soutenant qu'il n'aurait pas fait l'acquisition de la parcelle en question s'il avait su qu'elle avait une composante forestière. L'acte de vente qu'il a signé le 3 mai 2018 précisait, en effet, spécifiquement cette particularité, sous le titre explicite « Observation - forêt », et l'existence de la convention avec effet rétroactif au 1 er mars 2015 signée entre l'État de Genève et l'ancienne propriétaire du fond, dont il a repris les droits et obligations à décharge du vendeur. Enfin, son projet de construction n'a aucune influence sur la décision touchant la qualité de la parcelle exclue du périmètre de la forêt. Entièrement mal fondé, son recours doit être rejeté. 9) Vu l'issue du litige, le recourant supportera un émolument de CHF 1'500.-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