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A/1953/2013 vom 12. November 2013</w:t>
      </w:r>
    </w:p>
    <w:p>
      <w:r>
        <w:t>GE Cour de justice, 2013-11-12, FR</w:t>
      </w:r>
    </w:p>
    <w:p>
      <w:r>
        <w:rPr>
          <w:b/>
        </w:rPr>
        <w:t xml:space="preserve">Quelle: </w:t>
      </w:r>
      <w:r>
        <w:t>https://mcp.opencaselaw.ch/entscheid/ge_gerichte_A_1953_2013</w:t>
      </w:r>
    </w:p>
    <w:p>
      <w:r>
        <w:t>FR: GE_GERICHTE A/1953/2013 du 12 novembre 2013</w:t>
      </w:r>
    </w:p>
    <w:p>
      <w:r>
        <w:t>IT: GE_GERICHTE A/1953/2013 del 12 novembre 2013</w:t>
      </w:r>
    </w:p>
    <w:p>
      <w:pPr>
        <w:pStyle w:val="Heading2"/>
      </w:pPr>
      <w:r>
        <w:t>Erwägungen</w:t>
      </w:r>
    </w:p>
    <w:p>
      <w:r>
        <w:rPr>
          <w:b/>
        </w:rPr>
        <w:t>E. 1</w:t>
      </w:r>
    </w:p>
    <w:p>
      <w:r>
        <w:t>Les cantons veillent au respect de l'obligation de s'assurer.</w:t>
      </w:r>
    </w:p>
    <w:p>
      <w:r>
        <w:rPr>
          <w:b/>
        </w:rPr>
        <w:t>E. 2</w:t>
      </w:r>
    </w:p>
    <w:p>
      <w:r>
        <w:t>Conformément à l'article 32 de la loi fédérale sur la partie générale du droit des assurances sociales, du 6 octobre 2000, les autorités administratives et judiciaires ainsi que les assureurs et autres organes d'assurances sociales lui fournissent gratuitement, dans des cas particuliers et sur demande écrite et motivée, les données et pièces nécessaires à l'exécution de la LAMal et de la présente loi. Les articles 84 et 84a LAMal sont réservés.</w:t>
      </w:r>
    </w:p>
    <w:p>
      <w:r>
        <w:rPr>
          <w:b/>
        </w:rPr>
        <w:t>E. 3</w:t>
      </w:r>
    </w:p>
    <w:p>
      <w:r>
        <w:t>L’employeur d’un ressortissant étranger exerçant une activité dépendante et dont l’autorisation de séjour est valable pour moins de trois mois est tenu de l’affilier lorsque l’étranger ne bénéficie pas d’une couverture d’assurance équivalant à celle prévue par la LAMal.</w:t>
      </w:r>
    </w:p>
    <w:p>
      <w:r>
        <w:rPr>
          <w:b/>
        </w:rPr>
        <w:t>E. 4</w:t>
      </w:r>
    </w:p>
    <w:p>
      <w:r>
        <w:t>Les assurés et les employeurs doivent collaborer gratuitement à l'exécution de la LAMal et de la présente loi." Il incombe aux cantons de veiller au respect de l'obligation de s'assurer, mais aussi de statuer sur les requêtes d'exemption. A cet effet, les cantons désignent l'autorité cantonale compétente pour statuer sur ces requêtes (art. 6 LAMal et 10 al. 2 OAMal) et fixent les règles de procédure (RAMA 2000, KV 102 p. 20 consid 4c). En application de cette disposition légale de rang fédéral, le législateur genevois a édicté les art. 4 à 6 de la loi genevoise d’application de la loi fédérale sur l’assurance-maladie du 29 mai 1997 (LaLAMal; RS-GE J 3 05) qui confient cette mission au SAM. Dans ce cadre, l'art. 6 al. 3 LaLAMal prévoit que l'affiliation d'office est annulée si elle se révèle injustifiée et que l'assuré en supporte les frais s'il est en faute. Dans un tel cas, un montant de 50 fr. sera prélevé par l'office (cf. Mémorial du Grand Conseil 1996 25/IV 3013). 7.        En l’espèce, il y a lieu de constater que le SAM n’a pas failli à sa mission de contrôler l’affiliation à l’assurance obligatoire des soins de l’intéressé. L’intéressé a été affilié auprès de la CSS du 1 er octobre 2008 au 31 décembre 2009 et auprès de SANITAS depuis le 1 er janvier 2010. ![endif]&gt;![if&gt; On ne saurait par ailleurs reprocher au SAM de n’avoir pas fait en sorte que l’intéressé ne soit plus affilié auprès de SANITAS, comme il le souhaitait. Il appartient en effet à l’intéressé, et à lui seul, de résilier son contrat auprès de SANITAS et de conclure un nouveau contrat auprès de l’assureur de son choix (art. 4 LAMal). A cet égard, il y a lieu de rappeler qu’aux termes de l’art. 7 LAMal, « 1 L'assuré peut, moyennant un préavis de trois mois, changer d'assureur pour la fin d'un semestre d'une année civile. 2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(office)1 au moins deux mois à l'avance et signaler à l'assuré qu'il a le droit de changer d'assureur. (…)</w:t>
      </w:r>
    </w:p>
    <w:p>
      <w:r>
        <w:rPr>
          <w:b/>
        </w:rPr>
        <w:t>E. 5</w:t>
      </w:r>
    </w:p>
    <w:p>
      <w:r>
        <w:t>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rPr>
          <w:b/>
        </w:rPr>
        <w:t>E. 6</w:t>
      </w:r>
    </w:p>
    <w:p>
      <w:r>
        <w:t>Lorsque le changement d'assureur est impossible du fait de l'ancien assureur, celui-ci doit réparer le dommage qui en résulte pour l'assuré, en particulier la différence de prime. » La Cour de céans relève au surplus que conformément à l’art. 64a al. 4 LAMal, introduit dans la loi par la novelle du 18 mars 2005, en sa teneur en vigueur du 1er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 9C_660/2007 ). Les modalités prévues par l’art. 7 LAMal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(RDAT I 2001 no 61 p. 260; MAURER, op.cit., § 3 let. b/cc, p. 38). Le refus opposé, par un assureur, à un candidat au changement d'assureur n'entraîne pas une interruption de la protection d'assurance;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(ATF 128 V 263 ). On ne saurait dès lors reprocher au SAM un déni de justice, ce d’autant moins qu’il a, à chaque interpellation de l’intéressé, répondu de façon adéquate et dans les meilleurs délais. 8.        L'intéressé allègue s'être fié aux déclarations tenues par un collaborateur du SAM, selon lesquelles celui-ci était prêt à « faire repartir à zéro le contrat d'assurance avec une compagnie de notre choix pour mettre fin à cet imbroglio »".![endif]&gt;![if&gt;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 e éd., p. 108). 9.        En l’espèce, l’intéressé a cru que le SAM allait se charger lui-même du changement d’assureur. Or, le SAM ne pouvait précisément pas promettre le fait d’un assureur, la quatrième condition n’étant au surplus pas réalisée. ![endif]&gt;![if&gt; Il ne peut dès lors être admis dans le cas particulier que le droit à la protection de la bonne foi puisse être valablement invoqué. 10.    L'intéressé reproche également au SAM de n'avoir pas accédé à sa demande d'entretien.![endif]&gt;![if&gt; Il invoque ce faisant tout d'abord une violation de son droit d'être entendu.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126 I 15 consid. 2a/aa, 124 V 180 consid. 1a).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par l'autorité de recours ne doit avoir lieu qu'exceptionnellement (ATF 127 V 431 consid. 3d/aa, 126 I 70 , 126 V 130 consid. 2b et les références). 11.    En l’espèce, l’intéressé a pu faire valoir ses arguments dans plusieurs écritures, de sorte que son droit d’être entendu a été respecté. Par ailleurs, en admettant même que son droit d’être entendu ait été violé par le SAM, il faut considérer que cette supposée violation a été réparée puisque la Cour de céans, qui jouit d'un plein pouvoir d'examen, a donné la possibilité à l'intéressé de faire valoir ses arguments.![endif]&gt;![if&gt; 12.    Aussi le recours pour déni de justice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