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A/1952/2024 vom 23. Dezember 2024</w:t>
      </w:r>
    </w:p>
    <w:p>
      <w:r>
        <w:t>GE Cour de justice, 2024-12-23, FR</w:t>
      </w:r>
    </w:p>
    <w:p>
      <w:r>
        <w:rPr>
          <w:b/>
        </w:rPr>
        <w:t xml:space="preserve">Quelle: </w:t>
      </w:r>
      <w:r>
        <w:t>https://mcp.opencaselaw.ch/entscheid/ge_gerichte_A_1952_2024</w:t>
      </w:r>
    </w:p>
    <w:p>
      <w:r>
        <w:t>FR: GE_GERICHTE A/1952/2024 du 23 décembre 2024</w:t>
      </w:r>
    </w:p>
    <w:p>
      <w:r>
        <w:t>IT: GE_GERICHTE A/1952/2024 del 23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l’occurrence, le litige porte sur le droit de la recourante à une rente d’invalidité, singulièrement sur l’évaluation de sa capacité de travail et de ses empêchements ménagers, ainsi que sur son statut, cette question étant dans un rapport de connexité étroit avec le calcul du degré d’invalidité.</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 En l’occurrence, la décision querellée a certes été rendue postérieurement au 1 er janvier 2022. Toutefois, la demande de prestations ayant été déposée en 2020 et le délai d’attente d’une année venant à échéance le 1 er septembre 2020, un éventuel droit à une rente d’invalidité naîtrait antérieurement au 1 er janvier 2022 (art. 28 al. 1 let. b et 29 al. 1 LAI), de sorte que les dispositions applicables seront citées dans leur teneur en vigueur jusqu’au 31 décembre 2021. En outre, dans la mesure où la recourante avait, au 1 er janvier 2022, 30 ans révolus mais moins de 55 ans, la quotité éventuelle de sa rente subsisterait tant que son taux d’invalidité ne subit pas de modification au sens de l’art. 17 al. 1 LPGA.</w:t>
      </w:r>
    </w:p>
    <w:p>
      <w:r>
        <w:rPr>
          <w:b/>
        </w:rPr>
        <w:t>E. 3.2.1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3.2.2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3.2.3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w:t>
      </w:r>
    </w:p>
    <w:p>
      <w:r>
        <w:rPr>
          <w:b/>
        </w:rPr>
        <w:t>E. 3.2.4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du11 juillet 2019 consid. 7). En l’absence d’un diagnostic psychiatrique, une telle appréciation n’a pas non plus à être effectuée (arrêt du Tribunal fédéral 9C_176/2018 du 16 août 2018 consid. 3.2.2).</w:t>
      </w:r>
    </w:p>
    <w:p>
      <w:r>
        <w:rPr>
          <w:b/>
        </w:rPr>
        <w:t>E. 3.3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3.5</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3.6.2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3.6.3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3.7</w:t>
      </w:r>
    </w:p>
    <w:p>
      <w:r>
        <w:t>La procédure d’administration des preuves qui prévaut en matière de troubles douloureux sans substrat organique et de troubles psychosomatiques analogues est applicable à toutes les maladies psychiques (ATF 143 V 418 ),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 136 V 279 consid. 3.2.3) et d’état de stress post-traumatique (ATF 142 V 342 consid. 5.2). En revanche, ils ne sont pas applicables par analogie à la fatigue liée au cancer (cancer-related Fatigue) (ATF 139 V 346 consid. 3 ; arrêt du Tribunal fédéral 9C_73/2013 du 2 septembre 2013 consid. 5).</w:t>
      </w:r>
    </w:p>
    <w:p>
      <w:r>
        <w:rPr>
          <w:b/>
        </w:rPr>
        <w:t>E. 3.8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3.9.1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publié in VSI 2003 p. 221 ; arrêts du Tribunal fédéral 9C_625/2017 du 26 mars 2018 consid. 6.2 et I 733/06 du 16 juillet 2007).</w:t>
      </w:r>
    </w:p>
    <w:p>
      <w:r>
        <w:rPr>
          <w:b/>
        </w:rPr>
        <w:t>E. 3.10</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des assurances I 168/05 du 24 avril 2006 consid. 3.3 et B 80/01 du 17 octobre 2003 consid. 5.2.2).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w:t>
      </w:r>
    </w:p>
    <w:p>
      <w:r>
        <w:rPr>
          <w:b/>
        </w:rPr>
        <w:t>E. 3.11</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4</w:t>
      </w:r>
    </w:p>
    <w:p>
      <w:r>
        <w:t>Diagnostics (selon un système de classification reconnu) 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les diagnostics retenus, indiquer et détailler l’évolution de ce taux</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septembre 2019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l'avis de l’expert K______ du 7 juillet 2023 (expertise du I______) ? En particulier avec les diagnostics posés et l’estimation d'une capacité de travail nulle de mars 2020 à juillet 2021 et de 70% ensuite ? Si non, pourquoi ?</w:t>
      </w:r>
    </w:p>
    <w:p>
      <w:r>
        <w:rPr>
          <w:b/>
        </w:rPr>
        <w:t>E. 11.2</w:t>
      </w:r>
    </w:p>
    <w:p>
      <w:r>
        <w:t>Êtes-vous d’accord avec les avis de la Dre G______ des 28 novembre 2020, 12 juin 2021, 12 septembre 2022 et 24 janvier 2024 ? En particulier avec les diagnostics posés, les limitations fonctionnelles constatées et l’estimation d’une capacité de travail nulle de la recourante depuis septembre 2020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l’experte à déposer, dans les meilleurs délais , son rapport en trois exemplaires auprès de la chambre de céans. III. Réserve le fond ainsi que le sort des frais jusqu’à droit jugé au fond. La greffière Adriana MALANGA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