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A/1952/2021 vom 1. Oktober 2021</w:t>
      </w:r>
    </w:p>
    <w:p>
      <w:r>
        <w:t>GE Cour de justice, 2021-10-01, FR</w:t>
      </w:r>
    </w:p>
    <w:p>
      <w:r>
        <w:rPr>
          <w:b/>
        </w:rPr>
        <w:t xml:space="preserve">Quelle: </w:t>
      </w:r>
      <w:r>
        <w:t>https://mcp.opencaselaw.ch/entscheid/ge_gerichte_A_1952_2021</w:t>
      </w:r>
    </w:p>
    <w:p>
      <w:r>
        <w:t>FR: GE_GERICHTE A/1952/2021 du 1 octobre 2021</w:t>
      </w:r>
    </w:p>
    <w:p>
      <w:r>
        <w:t>IT: GE_GERICHTE A/1952/2021 del 1 ottobre 2021</w:t>
      </w:r>
    </w:p>
    <w:p>
      <w:pPr>
        <w:pStyle w:val="Heading2"/>
      </w:pPr>
      <w:r>
        <w:t>Regeste</w:t>
      </w:r>
    </w:p>
    <w:p>
      <w:r>
        <w:t>RETRAIT DE PERMIS;EXCÈS DE VITESSE;NOUVEAU MOYEN DE FAIT | LCR.16b.al1.leta; LCR.16b.al2.leta</w:t>
      </w:r>
    </w:p>
    <w:p>
      <w:pPr>
        <w:pStyle w:val="Heading2"/>
      </w:pPr>
      <w:r>
        <w:t>Volltext</w:t>
      </w:r>
    </w:p>
    <w:p>
      <w:r>
        <w:t>Genf Tribunal administratif de première instance en matière fiscale 01.10.2021 A/1952/2021 Genève Tribunal administratif de première instance en matière fiscale 01.10.2021 A/1952/2021 Ginevra Tribunal administratif de première instance en matière fiscale 01.10.2021 A/1952/2021</w:t>
      </w:r>
    </w:p>
    <w:p>
      <w:r>
        <w:t>RETRAIT DE PERMIS;EXCÈS DE VITESSE;NOUVEAU MOYEN DE FAIT | LCR.16b.al1.leta; LCR.16b.al2.leta</w:t>
      </w:r>
    </w:p>
    <w:p>
      <w:r>
        <w:t>A/1952/2021 JTAPI/996/2021 du 01.10.2021 ( LCR ) , REJETE Descripteurs : RETRAIT DE PERMIS;EXCÈS DE VITESSE;NOUVEAU MOYEN DE FAIT Normes : LCR.16b.al1.leta; LCR.16b.al2.leta En fait En droit Par ces motifs république et canton de genève POUVOIR JUDICIAIRE A/1952/2021 LCR JTAPI/996/2021 JUGEMENT DU TRIBUNAL ADMINISTRATIF DE PREMIÈRE INSTANCE du 30 septembre 2021 dans la cause Monsieur A______ , représenté par Me Jacques ROULET, avocat, avec élection de domicile contre OFFICE CANTONAL DES VÉHICULES EN FAIT 1.             Monsieur A______ né le ______ 1943, est titulaire d'un permis de conduire suisse obtenu le 3 décembre 1965. 2.             Aux termes d'un procès-verbal de dénonciation du 25 mars 2021, M. A______ a été contrôlé le 9 février 2021, au moyen d’un radar, alors qu’il circulait au volant d’une voiture à la vitesse de 77 km/h sur la route de Divonne, à Commugny dans le district de Nyon, sur un tronçon où la vitesse était limitée à 50 km/h. Après déduction de la marge de sécurité, le dépassement de la vitesse maximale autorisée s'élevait à 24 km/h. 3.             Par ordonnance pénale du 12 avril 2021, en force, la préfecture de Nyon lui a infligé une amende de CHF 600.- en raison du dépassement précité. Le lieu d'infraction indiqué était identique à celui contenu dans le procès-verbal de dénonciation. 4.             Par courrier du 12 avril 2021, l’office cantonal des véhicules (ci-après : OCV) a fait savoir à M. A______ que les autorités de police avaient porté à sa connaissance cette infraction, lui indiquant qu’une mesure administrative pouvait être prise à son encontre, indépendamment de l’amende ou d’une autre sanction pénale, de sorte qu’un délai de 15 jours lui était imparti pour produire ses observations écrites. 5.             M. A______ s’est déterminé par courriel du 19 avril 2021. Il sollicitait l'indulgence de l'autorité car il n’avait pas eu d’antécédents d’une telle importance depuis très longtemps. Il n’était sans doute pas assez attentif à la route, ni aux limitations de vitesses du fait qu’il conduisait un véhicule de prêt avec lequel il n’était pas familier. Il relevait en outre, photographie à l'appui, que le lieu de l'infraction était situé en pleine campagne après la sortie du village de Commugny, que l’endroit était désert au moment de l’infraction et l'absence de grave danger pour les autres. À cela s’ajoutait la présence d’un panneau de limitation de vitesse à 70 km/h à 20 m du lieu de l’infraction, de sorte qu’il était presque en règle. Associé d’un groupe, propriétaire de plusieurs cliniques en Suisse romande, dont deux à ______, il avait enfin un besoin absolu de son permis de conduire, passant son temps à visiter les établissements du groupe. 6.             Par décision du 5 mai 2021, prise en application de l’art. 16b de la loi fédérale sur la circulation routière du 19 décembre 1958 (LCR - RS 741.01), l’OCV a prononcé le retrait du permis de conduire de M. A______ pour une durée d'un mois, mesure qui me s’écartait pas du minimum légal, en raison des faits précités. Il était retenu qu'il s'agissait d'une infraction moyennement grave, que l'intéressé ne justifiait pas d’un besoin professionnel de conduire des véhicules automobiles ni d’une bonne réputation, le système d'information relatif à l'admission à la circulation (SIAC) faisant apparaître un antécédent, soit un retrait du permis de conduire prononcé par décision du 23 février 2015 en raison d’une infraction qualifiée de moyennement grave. 7.             Par acte du 7 juin 2021, agissant sous la plume d'un conseil, M. A______ a recouru auprès du Tribunal administratif de première instance (ci-après : le tribunal) contre cette décision, concluant, sous suite de dépens, à son annulation et, cela fait, à ce qu’il soit dit que son permis ne ferait l’objet d’aucun retrait et, subsidiairement, au renvoi de la cause à l’OCV pour nouvelle décision dans le sens des considérants. En l'occurrence, l'ordonnance pénale s'appuyait uniquement sur la dénonciation de la gendarmerie vaudoise, sans autre mesure d'instruction. Or, son appréciation juridique avait été faussée, puisque le lieu très vague mentionné dans le procès-verbal de dénonciation n'était pas représentatif de la réalité, ce qu'il n'avait découvert qu'après le délai pour former opposition contre ladite ordonnance. Il soulevait dès lors un fait nouveau que l'OCV, respectivement le tribunal, devaient prendre en compte, à savoir que le radar précédait de très près un panneau de limitation de vitesse indiquant 70 km/h. Dans la mesure où il avait été flashé par derrière, la distance était manifestement trop courte pour que sa vitesse fût établie avant le changement de limitation de vitesse. En tout état, la proximité avec la nouvelle limitation impliquait que l'on s’écarte du schématisme des sanctions et de considérer que sa faute était légère. Il fallait en outre retenir qu’il n’avait aucunement compromis la sécurité de la route et d’autres automobilistes, notamment du fait des caractéristiques de la zone concernée, qu'il rappelait. Un chargé de pièces, comprenant notamment une photographie d'un panneau de limitation de vitesse indiquant 70 km/h sur laquelle une flèche était tracée sur la route attenante, était joint au recours. 8.             Le 6 août 2021, l’OCV a communiqué son dossier au tribunal et fait part de ses observations, concluant au rejet du recours. Le retrait du permis était conforme à la loi et à la jurisprudence fédérale en matière d’excès de vitesse. La photographie produite par le recourant n’était pas la photo radar mais une simple prise de vue de la zone en question qui ne permettait pas de déterminer la position exacte du véhicule lors de la commission de l’infraction. 9.             Le recourant n’a pas répliqué dans le délai imparti pour ce faire.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 recourant invoque tout d’abord un fait nouveau qui impliquerait que le tribunal s’écarte du jugement pénal. 5.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 du Tribunal fédéral 1C_245/2010 du 13 juillet 2010 consid. 2.1 ; ATA/172/2012 du 27 mars 2012 ; ATA/363/2011 du 7 juin 2011).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 du Tribunal fédéral 1C_245/2010 du 13 juillet 2010 consid. 2.1 ; ATA/172/2012 du 27 mars 2012 ; ATA/363/2011 du 7 juin 2011).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 convient de statuer sur le retrait du permis de conduire après seulement que la procédure pénale soit achevée par un jugement entré en force ( ATA/172/2012 du 27 mars 2012). Ce principe s'applique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par exemple si la décision pénale se fonde uniquement sur le rapport de police (arrêt du Tribunal fédéral 1C_245/2010 du 13 juillet 2010 consid. 2.1 ; ATA/172/2012 du 27 mars 2012 ; ATA/363/2011 du 7 juin 2011). 6.             Un fait nouveau dit « ancien » est un fait nouveau et important que le recourant ne pouvait connaître ou invoquer dans la procédure précédente (art. 80 let. b LPA ; ATA/816/2021 du 10 août 2021, consid. 2a). 7.             En l’espèce, le recourant a été condamné pour infraction aux art. 27 al. 1 LCR et 4a al. 1 let. a de l’ordonnance sur les règles de la circulation routière du 13 novembre 1962 (OCR - RS 741.11) par ordonnance pénale de la Préfecture de Nyon du 12 avril 2021 entrée en force, en raison d’un dépassement de la vitesse maximale autorisée de 24 km/h sur un tronçon où la vitesse était limitée à 50 km/h. Le recourant, qui n'a pas contesté l’ordonnance pénale, affirme qu'il n'imaginait pas une seule seconde qu'il ferait l'objet d'une sanction administrative. On ne peut suivre le recourant sur ce point. En effet, non seulement son antécédent routier fait état d’une situation similaire, à savoir le dépassement de la limite de vitesse autorisée de 24 km/h sur le quai Gustave-Ador en 2014, qui avait entraîné une décision de retrait de son permis de conduire pour une durée d’un mois, mais dans son courrier daté du même jour que l’ordonnance pénale du 12 avril 2021, l'OCV lui indiquait en outre précisément qu’une mesure administrative pouvait être prise à son encontre, indépendamment de l’amende ou d’une autre sanction pénale. On ne peut non plus retenir avec le recourant que la proximité du panneau de limitation de vitesse à 70 km/h avec le radar constitue un fait nouveau. En effet, ce fait, s’il était avéré, existait déjà lors de la procédure pénale, et le recourant pouvait en prendre connaissance. Ainsi, le recourant n’apporte aucun élément de fait ou moyen de preuve nouveau, qu’il n’aurait pu faire valoir dans le cadre de la procédure pénale, susceptible de remettre en cause la décision de l’OCV. Par conséquent, le tribunal n’a aucun motif valable de s’écarter des faits établis par l’autorité pénale. 8.             Le recourant conteste ensuite la légalité de la décision. 9.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(not. arrêts du Tribunal fédéral 1C_216/2009 du 14 septembre 2009, consid. 5.2 ; 1C_83/2008 du 16 octobre 2008, JdT 2008 I 447 s. et les références citées).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(ATF 126 II 196 consid. 2a ; 124 II 97 consid. 2c). Le fait que l'excès de vitesse ait été commis alors que les conditions de la circulation étaient favorables ou que le conducteur jouissait d'une excellente réputation en tant qu'automobiliste ne joue aucun rôle sur la gravité de l'infraction lorsque les seuils d'excès de vitesse fixés par la jurisprudence sont atteints, étant donné que ces seuils ont été fixés précisément en partant de ces prémisses (ATF 132 II 234 , consid. 3 ; ATF 124 II 475 , consid. 2a). 10.         Après une infraction moyennement grave, le permis d'élève conducteur ou le permis de conduire est retiré pour un mois au minimum (art. 16b al. 2 let. a LCR). 11.         Si des circonstances telles que la gravité de la faute, les antécédents ou la nécessité professionnelle de conduire un véhicule automobile doivent être prises en compte pour fixer la durée du retrait, la durée minimale prévue par la loi ne peut pas être réduite à teneur de l'art. 16 al. 3 LCR. La règle contenue dans cette disposition,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 ATF 132 II 234 , consid. 2.3.). En d'autres termes, les besoins professionnels ne permettent de moduler la sanction que lorsqu'en fonction des circonstances, l'autorité envisage de prononcer un retrait du permis de conduire d'une durée supérieure au minimum légal. En revanche, tant que la durée du retrait ne s'écarte pas de ce minimum, les besoins professionnels ne peuvent avoir pour effet de réduire davantage la sanction (ATF 132 II 234 , consid. 2.3). 12.         En l’espèce, le dépassement de la vitesse maximale autorisée imputable au recourant est de 24 km/h à l’intérieur d’une localité, étant rappelé que les faits retenus par le juge pénal lient le tribunal comme vu plus haut, de sorte que l’infraction doit effectivement être qualifiée de moyennement grave au sens de l’art. 16b al. 1 let. a LCR en lien avec la jurisprudence en matière de dépassement de vitesse. C’est ainsi à juste titre que le recourant a fait l’objet d’un retrait de permis d’une durée d’un mois en application de l’art. 16b al. 2 let. a LCR, dans la mesure où l’OCV n’entendait pas s’écarter du minimum légal prévu par cette disposition. Devant impérativement se tenir à une telle mesure, l’OCV, qui ne pouvait en aucune manière prendre en considération ni les circonstances du cas d’espèce ni les besoins professionnels allégués par le recourant, a donc correctement appliqué les règles en vigueur et n’a pas excédé ou abusé de son pouvoir d’appréciation. Les éléments que le recourant invoque en l'espèce (caractéristiques de la route, de la zone concernée, l’absence d’autres automobilistes et l’absence de mise en danger in concreto) ne sont enfin pas de ceux qui permettraient de faire abstraction de la limitation de vitesse et de considérer l'infraction comme étant un cas de gravité légère (cf dans ce sens arrêt du Tribunal fédéral 1C_55/2014 du 9 janvier 2015, consid. 3.2 ; 1C_194/2009 du 11 septembre 2009, consid. 3.4). 13.         Il s’ensuit que la décision de l’OCV doit être confirmée et le recours rejeté. 14.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7 juin 2021 par Monsieur A______ contre la décision de l'office cantonal des véhicules du 5 mai 2021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