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A/1949/2003 vom 15. Juni 2004</w:t>
      </w:r>
    </w:p>
    <w:p>
      <w:r>
        <w:t>GE Cour de justice, 2004-06-15, FR</w:t>
      </w:r>
    </w:p>
    <w:p>
      <w:r>
        <w:rPr>
          <w:b/>
        </w:rPr>
        <w:t xml:space="preserve">Quelle: </w:t>
      </w:r>
      <w:r>
        <w:t>https://mcp.opencaselaw.ch/entscheid/ge_gerichte_A_1949_2003</w:t>
      </w:r>
    </w:p>
    <w:p>
      <w:r>
        <w:t>FR: GE_GERICHTE A/1949/2003 du 15 juin 2004</w:t>
      </w:r>
    </w:p>
    <w:p>
      <w:r>
        <w:t>IT: GE_GERICHTE A/1949/2003 del 15 giugno 2004</w:t>
      </w:r>
    </w:p>
    <w:p>
      <w:pPr>
        <w:pStyle w:val="Heading2"/>
      </w:pPr>
      <w:r>
        <w:t>Volltext</w:t>
      </w:r>
    </w:p>
    <w:p>
      <w:r>
        <w:t>Genève Cour de justice (Cour de droit public) Chambre des assurances sociales 18.06.2004 A/1949/2003</w:t>
      </w:r>
    </w:p>
    <w:p>
      <w:r>
        <w:t>A/1949/2003 ATAS/474/2004 du 18.06.2004 ( AI ) , PARTIELMNT ADMIS Recours TF déposé le 24.08.2004, rendu le 18.10.2005, ADMIS En fait En droit RÉPUBLIQUE ET CANTON DE GENÈVE POUVOIR JUDICIAIRE A/1949/2003 ATAS/474/2004 ARRET DU TRIBUNAL CANTONAL DES ASSURANCES SOCIALES 2 ème chambre du mardi 15 juin 2004 En la cause Monsieur D__________ , comparant par Me Maurizio LOCCIOLA en l’Etude duquel il élit domicile Recourant contre OFFICE CANTONAL DE L’ASSURANCE-INVALIDITE , 97, rue de Lyon, 1203 Genève intimé EN FAIT Monsieur D__________, ressortissant portugais né en 1948, est arrivé en Suisse en 1988 afin d’y exercer son métier de manœuvre. Dans un premier temps, celui-ci a été employé par X__________ SA comme ouvrier agricole puis, dès le 1 er janvier 1993, il a été engagé au service de voirie de la société Y__________ Le 2 avril 2000, l’intéressé a été victime d’un accident de la circulation. Le Dr A__________, du service des urgences de établissement hospitalier (France), a indiqué que le patient se plaignait de douleurs cervicales et dorsales mais qu’aucune lésion osseuse n’avait été constatée. Un arrêt de travail d’une semaine a été prescrit pour une entorse cervicale. Dans son rapport médical du 5 mai 2000 à l’attention de la Caisse nationale suisse d’assurance en cas d’accident (ci-après : ÉTABLISSEMENT HOSPITALIER), la Dresse B__________, médecin traitant, a attesté d’une incapacité totale de travail en raison de douleur sacro-iliaque droite et lombalgies. Consulté sur demande de la Dresse B__________, le Dr C__________, Chef de clinique au Service de neurochirurgie de établissement hospitalier, a diagnostiqué des lombalgies post-traumatiques sans lésion radiologique dans son rapport du 23 mai 2000. Aucune indication chirurgicale n’était retenue, mais il était proposé de confier le patient à la Clinique de la ÉTABLISSEMENT HOSPITALIER à Sion. Le 27 juin 2000, l’assuré a été examiné par le médecin d’arrondissement de la ÉTABLISSEMENT HOSPITALIER, le Dr D__________, lequel s’est rallié à la proposition du Dr C__________ consistant en une prise en charge rapide par la Clinique de réadaptation. Du 11 juillet au 9 août 2000, le patient a séjourné à la Clinique romande de réadaptation de la ÉTABLISSEMENT HOSPITALIER. A l’issue de son séjour, les Dr E__________ et F__________ ont retenu le diagnostic de lombalgies basses sans syndrome radiculaire, d’une discopathie L5-S1 ainsi que des séquelles de dystrophie de croissance. Les douleurs présentées par le patient étaient expliquées en partie par les constatations médicales, mais semblaient aggravées par des éléments non organiques. En accord avec le patient, la capacité de travail était fixée à 50 % dès le 14 août 2000. En date du 24 août 2000, l’assuré a déposé une demande de prestations d'assurance-invalidité auprès de l’Office cantonal de l’assurance-invalidité (ci-après : OCAI) visant à l’obtention d’une orientation professionnelle, un reclassement dans une nouvelle profession et/ou une rente. Dans son rapport médical à l’attention de l’OCAI du 13 octobre 2000, la Dresse B__________ a indiqué que son patient souffrait de lombalgies chroniques, de troubles dégénératifs et antélisthésis de degré I L5-S1, de séquelles de dystrophie de croissance et d’un état dépressif circonstanciel. La profession de manœuvre ne pouvait plus être exercée par le patient, de sorte qu’il était impossible que celui-ci reprenne son activité professionnelle. Toutefois, l’état de santé était stationnaire et le patient devrait bénéficier d’une réinsertion professionnelle envisageant un travail physiquement beaucoup moins lourd. L’OCAI a décidé de mettre l’assuré au bénéfice d’un stage professionnel auprès du Centre d’observation professionnel de l’assurance-invalidité (ci-après : COPAI). Le stage était prévu pour une durée de trois mois dès le 11 mars 2002 au Centre d’Intégration professionnelle. Le 31 juillet 2002, le COPAI a rendu son rapport, duquel il ressortait que les maîtres de réadaptation estimaient qu’un rendement de 75 % serait exigible sur un plein temps en tant qu’ouvrier d’usine ou d’employé au conditionnement au terme d’une période de mise au courant pratique en entreprise, à condition que l’assuré montre plus d’engagement. Un prolongement de trois mois de la mesure était demandé afin de tout mettre en œuvre pour aider l’assuré à mettre en valeur sa capacité résiduelle de travail dans le cadre d’un stage ESPACE. A l’issue de ce stage ESPACE, le COPAI a conclu théoriquement sur dossier le 9 octobre 2002 en confirmant une capacité résiduelle de travail de 75 %. Dans un travail adapté, la baisse de rendement était essentiellement due à la nécessité d’alterner les positions. L’assuré avait généralement fait preuve de peu de motivation durant ses stages en entreprise et il n’entrait pas dans une démarche de reclassement. Dans un rapport du 20 novembre 2002, la division de réadaptation professionnelle de l’OCAI a fixé le degré d’invalidité de l’assuré à 30,4 %, n’ouvrant pas le droit à la rente. Dans le cadre de la comparaison de revenus, un abattement de 15 % était imputé sur le revenu d’invalide pour tenir compte de la limitation aux activités légères. Par décision du 19 décembre 2002, l’OCAI a rejeté la demande de rente de l’assuré en raison d’un taux d’invalidité de 30,4 % n’ouvrant pas le droit à une rente. Le lendemain, l’OCAI a notifié à l’assuré une décision de refus de mesures professionnelles au motif que la capacité de travail attestée par l’observation professionnelle ne nécessitait pas une nouvelle formation ou un complément de formation. Le 21 janvier 2003, l’assuré a interjeté recours contre ces décisions auprès de la Commission cantonale de recours en matière d’assurance-invalidité, concluant à ce qu’il lui soit octroyé une rente d’invalidité d’au moins 50 % et subsidiairement à l’octroi de mesures professionnelles. Dans son complément du 26 février 2003, le recourant a modifié ses conclusions et demandé l’annulation des décisions querellées ainsi que l’octroi de mesures professionnelles. Par préavis du 30 avril 2003, l’OCAI a conclu au rejet du recours. Il y avait lieu de suivre les conclusions de l’observation professionnelle et la rente ne pouvait être accordée, vu le taux d’invalidité de 30,4 %. Par ailleurs, en raison du manque d’engagement de l’assuré et du fait que les emplois qui lui étaient encore accessibles ne demandaient aucune formation particulière, les mesures professionnelles ne pouvaient être accordées. Le 18 juin 2003, le recourant a transmis à la Commission de recours un certificat médical de Dr G__________, psychiatre, duquel il ressortait qu’il souffrait d’un probable état de stress post-traumatique et d’un probable trouble de l’adaptation, réaction mixte, anxieuse et dépressive. Par courrier du 26 juin 2003, l’OCAI a relevé que le psychiatre n’était pas en mesure de se prononcer précisément sur la situation et qu’il n’avait rencontré l’assuré qu’à partir du mois de mai 2003. Le certificat était exclusivement basé sur les dires du patient. Le 11 décembre 2003, le recourant a transmis au Tribunal cantonal des assurances sociales, en charge de la procédure depuis le 1 er août 2003, deux certificats médicaux établis par les Dr H__________, spécialiste en rhumatologie, et C__________. Le Dr C__________ avait revu le patient le 9 septembre 2003 et a indiqué dans son rapport daté du lendemain que la capacité de travail de 75 % lui semblait particulièrement optimiste et qu’elle était en réalité nettement moins importante. Le Dr H__________ a indiqué dans son certificat du 3 décembre 2003 que la capacité de travail de 75 % ne semblait actuellement pas possible, mais que dans un travail adapté, le patient pourrait au moins travailler à 50 %. Par courrier du 9 février 2004, l’OCAI a versé à la procédure un avis du Service médical régional de l’assurance-invalidité (ci-après : SMR) qui se prononçait sur les nouvelles pièces médicales produites par le recourant. Les diagnostics posés par le Dr G__________ n’étaient que « probables » ou « éventuels » et le trouble psychique était connu de l’OCAI qui en avait tenu compte pour rendre sa décision. Le Dr H__________ confirmait des diagnostics connus et demandait une réadaptation, laquelle avait déjà été proposée au recourant et avait échoué. L’état de santé ne semblait pas avoir changé depuis un an. Le 2 mars 2004, le recourant a contesté la teneur du rapport du SMR et sollicité l’audition par le Tribunal des Dr H__________, C__________ et G__________. Le Tribunal a ordonné la comparution personnelle des parties, qui s’est tenue le 16 mars 2004 Le recourant a indiqué qu’il n’avait pas fait de recherches d’emploi, mais qu’il acceptait d’en faire et de travailler à 50 %. L’OCAI s’est déclarée d’accord d’examiner l’aide au placement et le recourant a précisé qu’il déposerait une nouvelle demande de prestations à ce sujet. Ses conclusions sur le fond visaient à l’obtention d’une demi-rente d’invalidité calculée sur un taux d’invalidité d’au moins 50 %. A l’issue de l’audience, le Tribunal a gardé la cause à juger. EN DROIT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(ci-après Cst GE).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(ci-après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trancher du présent litige. La LPGA, entrée en vigueur le 1 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(art. 69 LAI et 84 de la loi fédérale sur l’assurance-vieillesse et survivants du 20 décembre 1946, dans sa teneur en vigueur jusqu’au 31 décembre 2002). L’objet du recours est de déterminer le taux d’invalidité de l’assuré et par conséquent son droit à une rente d’invalidité et/ou à des mesures professionnelles. A titre préalable, le recourant sollicite du Tribunal de céans l’audition des Dr H__________, C__________ et G__________. Le Tribunal ne donnera pas suite à cette demande pour les motifs suivants.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 dossier contient des rapports écrits et récents de tous ces médecins. Ces rapports ne nécessitent pas que leurs auteurs soient entendus par le Tribunal. Ainsi, le Tribunal rejettera cette demande préalable d’instruction complémentaire du recourant. L’invalidité est définie par la loi comme la diminution de la capacité de gain, présumée permanente ou de longue durée, qui résulte d’une atteinte à la santé physique, ou mentale provenant d’une infirmité congénitale, d’une maladie ou d’un accident (art. 4 LAI).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Selon le chiffre 6007 de la Circulaire sur la procédure dans l’assurance-invalidité, édictée par l’Office fédéral des assurances sociales (OFAS), on fait appel aux services du Centre d’observation professionnelle de l’AI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On rappellera encore que la jurisprudence accorde plus de poids aux constatations faites par un spécialiste d’un centre d’observation de l’assurance-invalidité et d’une clinique universitaire qu’à l’appréciation de l’incapacité de travail par le médecin de famille (ATF 125 V 353 consid. 3b/cc et les références ; RJJ 1995, p. 44 ; RCC 1988 p. 504 consid. 2, ATFA non publié du 21 août 2002 en la cause I 698/01/Mh consid. 4).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l’espèce, le recourant estime que l’OCAI n’aurait pas dû se baser sur les conclusions du COPAI pour effectuer le calcul du taux d’invalidité, mais sur celles des Dr B__________, G__________, C__________ et H__________. Cette manière de voir est erronée, dans la mesure où les une et les autres ne sont pas contradictoires. Tout d’abord, dans son rapport médical à l’attention de l’OCAI du 13 octobre 2000, la Dresse B__________ a indiqué que le patient était incapable de travailler dans sa profession de manœuvre, mais qu’il devait bénéficier d’une réinsertion professionnelle lui permettant d’exercer un métier beaucoup moins lourd. L’état de santé était jugé stationnaire. Ce docteur a par ailleurs expressément confirmé par téléphone au médecin-conseil de l’OCAI que son patient pouvait exercer une autre activité. Le Dr G__________, qui n’a vu le recourant qu’à trois reprises à partir de mai 2003, a précisé dans son rapport du 11 juin 2003 que ses indications ne pouvaient être qu’approximatives. Ses diagnostics ne faisaient état que de probabilités. Avec beaucoup de retenue et en se basant sur les dires de son patient, ce médecin a estimé qu’il était « difficile d’estimer la limitation de sa capacité de gain », mais qu’il pouvait « imaginer qu’elle s’élève à 50 % ». S’agissant du Dr C__________, il a confirmé dans son rapport du 10 septembre 2003 les atteintes à la santé dont souffrait le patient et relevé qu’une capacité de travail de 75 % lui semblait particulièrement optimiste, sans pour autant l’exclure. Enfin, le rapport du 3 décembre 2003, du Dr H__________ n’est pas particulièrement clair puisqu’il indique : « l’incapacité de travail dans la situation actuelle est au plus de 50 %, à mon avis, et moins de 75 %, comme l’indique le Dr C__________ dans la dernière phrase de son rapport ». Il a ainsi confirmé qu’une activité adaptée pouvait être exercée dans un poste adapté par le recourant selon un taux d’au moins 50 %. Quant aux rapports du COPAI, ils reposent sur une mesure observation professionnelle du recourant durant plus de six mois. Une première partie (3 mois) a consisté dans l’établissement d’un bilan des capacités réelles de l’assuré (stage OSER) et une seconde visait à déterminer si l’assuré pouvait réellement être réadapté en lui proposant des ateliers et des stages en entreprise (stage ESPACE). Le rapport OSER est très convaincant et complet, tant en ce qui concerne la personnalité du recourant, qu’en ce qui concerne les limitations observées. Les responsables ont décrit en détail les activités et travaux qu’il était en mesure d’effectuer, tout en soulignant qu’il ne prenait que peu d’initiative dans son travail. Ils ont également mis en évidence les problèmes rencontrés par l’assuré. A l’issue de cette observation, les capacités physiques de l’assuré étaient jugées compatibles avec un emploi léger lui permettant l’alternance des positions dans le circuit économique normal. Ses rendement initiaux de 55 % étaient susceptibles de s’améliorer. Ses capacités d’adaptation et d’apprentissage étaient également compatibles avec un emploi pratique, simple et répétitif dans le circuit économique normal et l’assuré avait les capacités lui permettant de suivre une brève mise au courant. Quant aux capacités d’intégration sociale du recourant, elles étaient également compatibles avec un emploi dans le circuit économique normal. L’évaluation intermédiaire après l’observation concluait que le stagiaire pouvait être réadapté dans des activités légères, non statiques et offrant la possibilité d’alterner les positions. Le port de charges était limité et le tronc ne devait pas être trop sollicité en inclinaison. Les compétences manuelles, intellectuelles et affectives faisaient que l’assuré ne pouvait travailler que dans des activités pratiques, légères, simples et répétitives en tant qu’exécutant, sans avoir à effectuer des gestes fins et trop précis. Un rendement de 75 % serait exigible sur un plein temps en tant qu’ouvrier d’usine ou employé au conditionnement après la mise au courant pratique. Afin de confirmer cette évaluation, l’assuré a été envoyé en stage en atelier et en entreprise durant trois mois supplémentaires. Le rapport ESPACE relève que les rendement ont peu progressé et que l’engagement peut être qualifié de faible à moyen. Le rendement exigible de 75 % était confirmé. Le rendement moyen en entreprise (Z__________SA) avait été de 60 %, ce qui ne remettait pas en question l’exigibilité fixée à 75 % après une période de mise au courant. L’assuré restait plaintif et peu motivé par une reclassement qui était dès lors considéré comme inutile et inefficace. Concluant théoriquement sur dossier, la mise en valeur d’une pleine capacité de travail avec rendement de 75 % était retenue et confirmée, la baisse de rendement de 25 % étant essentiellement due au besoin d’alterner fréquemment les positions. L’appréciation du COPAI émane d’une institution de l’assurance-invalidité dont la fonction est de compléter les données médicales en examinant concrètement dans quelle mesure l’assuré est à même de mettre en valeur une capacité de travail et de gain sur le marché du travail (« L’instruction des possibilités de gain des personnes prétendant une rente, compte-rendu d’une séance du 10 novembre 1989 consacrée aux problèmes de l’expertise médicale et professionnelle », RCC 1990 p. 59 ss ; Karl ABEGG, « Coup d’œil sur l’activité des centres d’observation professionnelle de l’assurance-invalidité »; ATFA non publié du 24 octobre 2003 en la cause I 35/03 consid. 4.3). Dès lors, dans la mesure où cette appréciation apparaît globalement exacte et suffisamment proche de celle des médecins en ce qui concerne la capacité de travail résiduelle de l’assuré, qu’elle est motivée et tout à fait convaincante, l’Office intimé ne pouvait pas s’en écarter. C’est donc à juste titre que l’OCAI a tenu compte d’une capacité résiduelle de travail entière avec un rendement de 75 % afin d’effectuer le calcul du taux d’invalidité du recourant. Il reste à vérifier le calcul effectué. Il convient de déterminer le taux d'invalidité de l’assuré en recourant à la méthode générale de comparaison des revenus, s’agissant d’un assuré ayant dû interrompre ou cesser son activité lucrative pour cause de maladie ou d’accident et qui, sans handicap, continuerait à exercer une activité lucrative (Circulaire concernant l’invalidité et l’impotence de l’assurance-invalidité - CIIAI, n° 3009).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2000, durant laquelle le recourant aurait été capable de reprendre une activité adaptée, selon les dires de son médecin traitant. En effet, son état de santé était stabilisé et stationnaire depuis le mois d’octobre 2000 déjà. S’agissant du revenu sans invalidité, il ressort du dossier qu’au moment où le recourant a cessé son activité professionnelle en 2000, il était employé comme manœuvre par la société Y__________SA pour un salaire mensuel de 4'100.-. Compte tenu d’un 13 ème salaire de 4’100.-, le salaire annuel du recourant sans invalidité en 2000 s’élève à 53’300 fr.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hommes effectuant des activités simples et répétitives dans le secteur de la production en 2000, à savoir 4’598 fr. par mois (Enquête suisse sur la structure des salaires 2000, tableau TA3; n° 10-45, niveau de qualification 4). Comme les salaires bruts standardisés tiennent compte d'un horaire de travail de quarante heures, soit une durée hebdomadaire inférieure à la moyenne usuelle dans les entreprises (41,8 heures en 2000 ; Office fédéral de la statistique, Durée du travail dans les entreprises), ce montant doit être porté à 4’805 fr. (4’598 x 41,8 / 40), ce qui donne un salaire annuel de 57’660 fr. pour un rendement de 100 %. Afin de tenir compte du rendement de 75 % déterminé par le COPAI, ce montant doit être abaissé à 43'245 fr. Compte tenu du fait que l’assuré est jeune et habile de ses mains, il ne sera pas procédé à un abattement supplémentaire pour des limitations fonctionnelles, dans la mesure où la diminution de rendement de 25 % opérée par le COPAI vise précisément à tenir compte de ces limitations. Par contre, compte tenu du fait que l’assuré a été tenu éloigné du monde du travail durant plusieurs années, un abattement de 10 % pourra être retenu. Il en résulte donc un revenu d'invalide de 38’921.- fr. Si on compare ce montant avec le revenu sans invalidité ([53’300 – 38’921] / 53’300 x 100), on obtient un degré d’invalidité de 27 %, de sorte que l'assuré n'a pas droit à une rente. S’agissant de l’aide au placement, elle est théoriquement possible. Il sera donné acte aux parties qu’une telle mesure sera accordée au recourant, cas échéant après présentation d’une nouvelle demande ad hoc. Au vu de ce qui précède, le recours est rejeté. PAR CES MOTIFS, LE TRIBUNAL CANTONAL DES ASSURANCES SOCIALES : Statuant (conformément à la disposition transitoire de l’art. 162 LOJ) A la forme : Déclare le recours recevable. Au fond : Donne acte à l’OCAI de son accord à l’octroi d’une aide au placement sur nouvelle demande du recourant. Rejette le recours pour le surplus.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