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A/1942/2023 vom 28. November 2024</w:t>
      </w:r>
    </w:p>
    <w:p>
      <w:r>
        <w:t>GE Cour de justice, 2024-11-28, FR</w:t>
      </w:r>
    </w:p>
    <w:p>
      <w:r>
        <w:rPr>
          <w:b/>
        </w:rPr>
        <w:t xml:space="preserve">Quelle: </w:t>
      </w:r>
      <w:r>
        <w:t>https://mcp.opencaselaw.ch/entscheid/ge_gerichte_A_1942_2023</w:t>
      </w:r>
    </w:p>
    <w:p>
      <w:r>
        <w:t>FR: GE_GERICHTE A/1942/2023 du 28 novembre 2024</w:t>
      </w:r>
    </w:p>
    <w:p>
      <w:r>
        <w:t>IT: GE_GERICHTE A/1942/2023 del 28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L’objet du litige porte le droit du recourant à une rente d’invalidité et/ou à un reclassement.</w:t>
      </w:r>
    </w:p>
    <w:p>
      <w:r>
        <w:rPr>
          <w:b/>
        </w:rPr>
        <w:t>E. 3.1</w:t>
      </w:r>
    </w:p>
    <w:p>
      <w:r>
        <w:t>Le 1 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3.2</w:t>
      </w:r>
    </w:p>
    <w:p>
      <w:r>
        <w:t>En l’occurrence, la décision querellée concerne un premier octroi de rente dont le droit – s’il était reconnu – naîtrait avant le 31 décembre 2021. En conséquence, les dispositions légales applicables seront citées, ci-après, dans leur ancienne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4.2.1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4.2.2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4.2.3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5.2.2 et la référence).</w:t>
      </w:r>
    </w:p>
    <w:p>
      <w:r>
        <w:rPr>
          <w:b/>
        </w:rPr>
        <w:t>E. 4.2.4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4.2.5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 ème anniversaire de l’assuré (art. 29 al. 1 LAI).</w:t>
      </w:r>
    </w:p>
    <w:p>
      <w:r>
        <w:rPr>
          <w:b/>
        </w:rPr>
        <w:t>E. 5.2.1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5.2.2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5.2.3</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(ATF 110 V 273 consid. 4b).</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cf . arrêt du Tribunal fédéral 8C_162/2023 du 9 octobre 2023 consid. 2.3 et les références).</w:t>
      </w:r>
    </w:p>
    <w:p>
      <w:r>
        <w:rPr>
          <w:b/>
        </w:rPr>
        <w:t>E. 6.3.3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7</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9</w:t>
      </w:r>
    </w:p>
    <w:p>
      <w:r>
        <w:t>En l’espèce, la décision litigieuse, fondée sur l’avis du SMR du 29 août 2022, se ralliant lui-même aux conclusions du rapport d’expertise rhumato-psychiatrique du 29 juin 2022, retient, dès janvier 2020, une incapacité de travail de 20% dans l’activité habituelle, qualifiée par les experts d’adaptée. En l’absence d’incapacité de travail d’au moins 40% en moyenne durant une année, les conditions pour pouvoir prétendre une rente d’invalidité (art. 28 al. 1 let. b LAI) ont été niées. Le recourant conteste les conclusions des experts en invoquant l’avis de ses médecins traitants.</w:t>
      </w:r>
    </w:p>
    <w:p>
      <w:r>
        <w:rPr>
          <w:b/>
        </w:rPr>
        <w:t>E. 9.1</w:t>
      </w:r>
    </w:p>
    <w:p>
      <w:r>
        <w:t>Il convient dès lors d’examiner la valeur probante du rapport d’expertise bidisciplinaire, contestée par le recourant. La Cour de céans constate en premier lieu que ce rapport a été rendu en pleine connaissance du dossier, qu’il comporte une anamnèse et un status rhumatologique et psychiatrique fouillés, qu’il se fait l’écho des plaintes de l’assuré, que les diagnostics et les conclusions sont bien motivés et que le volet psychiatrique est articulé autour de la grille d’analyse structurée prévue par la jurisprudence. Aussi convient-il en principe d’en reconnaître la valeur probante. Il ressort en synthèse de ce rapport qu’en l’absence de limitation fonctionnelle d’ordre psychique, seuls les diagnostics relatifs aux atteintes somatiques ont été reconnus comme ayant des répercussions sur la capacité de travail. Sur le plan psychique, l’experte n’a retenu aucun diagnostic invalidant. Elle a précisé avoir noté une discordance entre les données objectives de l’examen clinique psychiatrique et les plaintes de l’assuré. En particulier, n’ont été relevés ni signes d’asthénie physique ou psychique, ni troubles de la concentration. Le diagnostic d’épisode dépressif moyen a donc été écarté en l’absence de critères suffisants. L’assuré est apparu autonome dans les actes de la vie quotidienne et ses plaintes sont apparues essentiellement liées aux difficultés sociales financières et familiales. Les ressources ont été qualifiées de bonnes. L'examen clinique a été décrit comme peu contributif sur le plan psychiatrique. Les plaintes de l’assuré étaient peu précises et liées principalement aux douleurs et à ses difficultés sociales, familiales et financières. Sur ce plan, on notera que l’experte a expliqué les raisons qui l’amenaient à s’écarter du diagnostic d’épisode dépressif moyen retenu par le psychiatre traitant. D’ailleurs, le psychiatre traitant a lui aussi fait état, chez son patient, de ressources mobilisables. Il est par ailleurs intéressant de remarquer qu’il a expressément mentionné que c’était l’état de santé physique de son patient qui rendait sa réinsertion sur le marché de l’emploi difficile. En définitive, le psychiatre traitant ne s’est pas prononcé sur la capacité de travail de son patient. C’est lui qui a suggéré la mise en place d’une expertise à cette fin. En l’état, force est de constater que, sur le plan psychique, aucun élément objectif n’est amené qui pourrait faire douter des conclusions de l’expertise. S’agissant des atteintes somatiques, l’experte en a retenu plusieurs : des lombosciatalgies droites de longue date, augmentées depuis environ trois ans, des gonalgies de type mécanique apparues progressivement suite à des arthroscopies des genoux, des douleurs de l’épaule droite en augmentation progressive depuis quatre à cinq ans et des douleurs au pied droit, en charge principalement, depuis environ cinq ans. Il a été relaté que les douleurs lombaires étaient toujours présentes, constantes, surtout la journée, en position assise ou debout prolongée, que l’assuré se plaignait de gonalgies bilatérales à la marche avec des épisodes de lâchages ou de blocages et une tuméfaction occasionnelle, que les douleurs de l’épaule étaient également présentes selon les mouvements et que les douleurs nocturnes réveillaient l’assuré à plusieurs reprises durant la nuit ; il signalait aussi d’importantes douleurs au niveau du gros orteil du pied droit, à la marche et dans les chaussures. À l’examen clinique, l’experte a observé une obésité sévère, l’absence de troubles statiques, un discret syndrome vertébral lombaire, une épaule droite douloureuse et limitée dans tous les plans, un genou indolore avec un discret épanchement des deux côtés, un hallux valgus débutant au pied droit avec une mobilité de l’hallux limitée. Elle a noté qu’une imagerie par résonance magnétique lombaire effectuée en février 2021 avait montré une discopathie débutante L4-L5 et L5-S1 sans conflit disco-radiculaire évident et des sacro-iliaques normales. Une IRM de l’épaule droite pratiquée en septembre 2020 avait décrit une rupture complète de la coiffe et un remaniement important du trochiter. En résumé, l’experte a retenu des lombosciatalgies droites avec un discret syndrome vertébral lombaire, des signes de périarthrite de la hanche droite et un status neurologique normal. L’IRM lombaire était non relevante. Les douleurs de l’épaule droite étaient en relation avec une rupture massive de la coiffe des rotateurs objectivée en 2021. Les gonalgies étaient de type mécanique, probablement en relation avec des troubles dégénératifs. Les douleurs à la marche au pied droit étaient dues à un hallux valgus débutant. Force est donc de constater que l’experte a donc tenu compte de toutes les atteintes somatiques diagnostiquées par les médecins traitants. Elle en a également tiré les conséquences en termes de limitations fonctionnelles : assuré limité dans la station debout ou assise prolongée, dans le port de charges et les déplacements fréquents, ainsi que pour les mouvements répétés ou en élévation du membre supérieur droit. Dans ces conditions, la conclusion selon laquelle un travail de bureau dans les assurances serait une activité adaptée n’apparaît pas critiquable. Il a été tenu compte tant des atteintes somatiques que de leurs conséquences pour évaluer la capacité de travail dans cette activité à 100%, avec une diminution de rendement de 20% pour tenir compte des limitations (changements fréquents de positions surtout). Le recourant admet d’ailleurs lui-même que l’experte rhumatologue a retenu les mêmes limitations fonctionnelles que son médecin traitant tout en tirant des conclusions divergentes quant à sa capacité de travail. À l’instar de l’intimé, la Cour de céans constate que le recourant n’apporte aucun élément objectivement vérifiable de nature clinique ou diagnostique qui aurait été ignoré dans le cadre de l’expertise et qui serait suffisamment pertinent pour remettre en cause le bien-fondé des conclusions des expertes ou établir le caractère incomplet de leur rapport. Il ne suffit pas de soutenir que les expertes auraient dû conclure différemment. Le fait que les médecins traitants aient une appréciation différente n’est pas en soi déterminant selon la jurisprudence. Il résulte de ce qui précède que les arguments invoqués par le recourant ne permettent pas de mettre en doute les conclusions du rapport d’expertise. Quant au fait que l’intimé n’ait pas sollicité l’avis des médecins traitants, il n’est pas pertinent : l’assuré a été informé des intentions de l’intimé par le biais de la communication du projet de décision de l’OAI, il a eu l’occasion d’accéder à son dossier et la possibilité de solliciter lui-même ses médecins, ce qu’il a d’ailleurs fait. Partant, il convient de retenir qu’il est établi, au degré de la vraisemblance prépondérante requise, que les atteintes présentées par l’intéressé ont réduit sa capacité de travail de 20% à compter de janvier 2021. Ce taux d’incapacité de travail correspond au degré d’invalidité dans la mesure où l’activité habituelle a été qualifiée d’adaptée par les expertes. Il est dès lors insuffisant pour ouvrir droit à une rente d’invalidité.</w:t>
      </w:r>
    </w:p>
    <w:p>
      <w:r>
        <w:rPr>
          <w:b/>
        </w:rPr>
        <w:t>E. 10</w:t>
      </w:r>
    </w:p>
    <w:p>
      <w:r>
        <w:t>Le recourant conclut également à l’octroi d’une mesure de reclassement.</w:t>
      </w:r>
    </w:p>
    <w:p>
      <w:r>
        <w:rPr>
          <w:b/>
        </w:rPr>
        <w:t>E. 10.1</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w:t>
      </w:r>
    </w:p>
    <w:p>
      <w:r>
        <w:rPr>
          <w:b/>
        </w:rPr>
        <w:t>E. 10.2</w:t>
      </w:r>
    </w:p>
    <w:p>
      <w:r>
        <w:t>En l’occurrence, l’activité habituelle de courtier en assurances ayant été jugée adaptée, un reclassement ne serait pas susceptible de maintenir ou améliorer sensiblement la capacité de gain de l’assuré. C’est le lieu de rappeler par ailleurs que le droit à une mesure de réadaptation présuppose qu'elle soit appropriée au but de la réadaptation poursuivi par l'assurance-invalidité, tant objectivement – en ce qui concerne la mesure – que sur le plan subjectif –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En l’occurrence, l’aptitude subjective de réadaptation du recourant ne paraît pas évidente, étant rappelé qu’il n’a plus cherché à exercer une activité lucrative depuis son retour en suisse, en février 2018. Eu égard à ce qui précède, le droit à une mesure professionnelle sous la forme d’un reclassement n’est pas ouvert, pas plus que le droit à une rente.</w:t>
      </w:r>
    </w:p>
    <w:p>
      <w:r>
        <w:rPr>
          <w:b/>
        </w:rPr>
        <w:t>E. 11</w:t>
      </w:r>
    </w:p>
    <w:p>
      <w:r>
        <w:t>La décision de négation de prestations de l’intimé apparaît ainsi bien fondée. Le recours est rejeté. Bien que la procédure ne soit pas gratuite en matière d’assurance-invalidité ( cf . art. 69 al. 1 bis LAI), il y a lieu en l’espèce de renoncer à la perception d’un émolument, le recourant étant au bénéfice de l’assistance juridique (art. 12 al. 1 du règlement sur les frais, émoluments et indemnités en procédure administrative du 30 juillet 1986 –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