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A/193/2022 vom 3. Oktober 2022</w:t>
      </w:r>
    </w:p>
    <w:p>
      <w:r>
        <w:t>GE Cour de justice, 2022-10-03, FR</w:t>
      </w:r>
    </w:p>
    <w:p>
      <w:r>
        <w:rPr>
          <w:b/>
        </w:rPr>
        <w:t xml:space="preserve">Quelle: </w:t>
      </w:r>
      <w:r>
        <w:t>https://mcp.opencaselaw.ch/entscheid/ge_gerichte_A_193_2022</w:t>
      </w:r>
    </w:p>
    <w:p>
      <w:r>
        <w:t>FR: GE_GERICHTE A/193/2022 du 3 octobre 2022</w:t>
      </w:r>
    </w:p>
    <w:p>
      <w:r>
        <w:t>IT: GE_GERICHTE A/193/2022 del 3 ottobre 2022</w:t>
      </w:r>
    </w:p>
    <w:p>
      <w:pPr>
        <w:pStyle w:val="Heading2"/>
      </w:pPr>
      <w:r>
        <w:t>Erwägungen</w:t>
      </w:r>
    </w:p>
    <w:p>
      <w:r>
        <w:rPr>
          <w:b/>
        </w:rPr>
        <w:t>E. 6</w:t>
      </w:r>
    </w:p>
    <w:p>
      <w:r>
        <w:t>![endif]&gt;![if&gt;</w:t>
      </w:r>
    </w:p>
    <w:p>
      <w:r>
        <w:rPr>
          <w:b/>
        </w:rPr>
        <w:t>E. 6.1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w:t>
      </w:r>
    </w:p>
    <w:p>
      <w:r>
        <w:rPr>
          <w:b/>
        </w:rPr>
        <w:t>E. 6.1.1</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![endif]&gt;![if&gt;</w:t>
      </w:r>
    </w:p>
    <w:p>
      <w:r>
        <w:rPr>
          <w:b/>
        </w:rPr>
        <w:t>E. 6.1.2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En particulier, l’ESS 2016 a été publiée le 26 octobre 2018 (étant précisé que le tableau T1_tirage_skill_level a été corrigé le 8 novembre 2018).![endif]&gt;![if&gt; Enfin, dans un arrêt de principe, le Tribunal fédéral a estimé qu’il n’existe pas de motifs sérieux et objectifs justifiant une modification de sa jurisprudence relative à l’application des ESS dans le cadre de la détermination du degré d’invalidité des assurés (arrêt du Tribunal fédéral 8C_256/2021 du 9 mars 2022, destiné à la publication).</w:t>
      </w:r>
    </w:p>
    <w:p>
      <w:r>
        <w:rPr>
          <w:b/>
        </w:rPr>
        <w:t>E. 6.1.2.1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![endif]&gt;![if&gt;</w:t>
      </w:r>
    </w:p>
    <w:p>
      <w:r>
        <w:rPr>
          <w:b/>
        </w:rPr>
        <w:t>E. 6.1.2.2</w:t>
      </w:r>
    </w:p>
    <w:p>
      <w:r>
        <w:t>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![endif]&gt;![if&gt;</w:t>
      </w:r>
    </w:p>
    <w:p>
      <w:r>
        <w:rPr>
          <w:b/>
        </w:rPr>
        <w:t>E. 7</w:t>
      </w:r>
    </w:p>
    <w:p>
      <w:r>
        <w:t>![endif]&gt;![if&gt;</w:t>
      </w:r>
    </w:p>
    <w:p>
      <w:r>
        <w:rPr>
          <w:b/>
        </w:rPr>
        <w:t>E. 7.1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7.2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2007).![endif]&gt;![if&gt;</w:t>
      </w:r>
    </w:p>
    <w:p>
      <w:r>
        <w:rPr>
          <w:b/>
        </w:rPr>
        <w:t>E. 8</w:t>
      </w:r>
    </w:p>
    <w:p>
      <w:r>
        <w:t>![endif]&gt;![if&gt;</w:t>
      </w:r>
    </w:p>
    <w:p>
      <w:r>
        <w:rPr>
          <w:b/>
        </w:rPr>
        <w:t>E. 8.1</w:t>
      </w:r>
    </w:p>
    <w:p>
      <w:r>
        <w:t>Le Tribunal fédéral, dans sa jurisprudence la plus récente, a considéré que dans certaines circonstances bien définies, il pouvait être tenu compte de la diminution de la capacité d'exercer une activité lucrative ou d'accomplir les travaux habituels en raison des efforts consentis dans l'autre domaine d'activité (ATF 134 V 9 ; voir également SVR 2006 IV n° 42 p. 151).![endif]&gt;![if&gt;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(ATF 134 V 9 consid. 7.3.1).</w:t>
      </w:r>
    </w:p>
    <w:p>
      <w:r>
        <w:rPr>
          <w:b/>
        </w:rPr>
        <w:t>E. 8.2</w:t>
      </w:r>
    </w:p>
    <w:p>
      <w:r>
        <w:t>L'incapacité d'exercer une activité lucrative ou d'accomplir les travaux habituels résultant des efforts consentis dans l'autre domaine d'activité ne peut être prise en considération qu'à certaines conditions spéciales.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(ATF 134 V 9 consid. 7.3.2 à 7.3.7 ; arrêt du Tribunal fédéral 9C_632/2014 du 20 janvier 2015 consid. 4.1.2).![endif]&gt;![if&gt;</w:t>
      </w:r>
    </w:p>
    <w:p>
      <w:r>
        <w:rPr>
          <w:b/>
        </w:rPr>
        <w:t>E. 9</w:t>
      </w:r>
    </w:p>
    <w:p>
      <w:r>
        <w:t>![endif]&gt;![if&gt;</w:t>
      </w:r>
    </w:p>
    <w:p>
      <w:r>
        <w:rPr>
          <w:b/>
        </w:rPr>
        <w:t>E. 9.1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9.2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9.3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4.3.1).![endif]&gt;![if&gt;</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11</w:t>
      </w:r>
    </w:p>
    <w:p>
      <w:r>
        <w:t>![endif]&gt;![if&gt;</w:t>
      </w:r>
    </w:p>
    <w:p>
      <w:r>
        <w:rPr>
          <w:b/>
        </w:rPr>
        <w:t>E. 11.1</w:t>
      </w:r>
    </w:p>
    <w:p>
      <w:r>
        <w:t>En l’occurrence, l’intimé est revenu, en cours de procédure, sur la décision litigieuse octroyant à la recourante un quart de rente d’invalidité dès le 1 er janvier 2018. Il a recalculé le degré d’invalidité de la recourante depuis le 21 avril 2016 pour aboutir à un taux de 63% et, depuis le 1 er janvier 2018, pour aboutir à un taux de 67% et a constaté que la recourante avait, en conséquence, droit à un trois-quarts de rente d’invalidité depuis le 1 er avril 2017, moment de l’échéance du délai de carence.![endif]&gt;![if&gt;</w:t>
      </w:r>
    </w:p>
    <w:p>
      <w:r>
        <w:rPr>
          <w:b/>
        </w:rPr>
        <w:t>E. 11.2</w:t>
      </w:r>
    </w:p>
    <w:p>
      <w:r>
        <w:t>La recourante conteste ce calcul, singulièrement son taux de capacité de travail exigible, son revenu sans invalidité et son invalidité ménagère, et conclut à l’octroi d’une rente entière d’invalidité depuis le 1 er septembre 2016.![endif]&gt;![if&gt;</w:t>
      </w:r>
    </w:p>
    <w:p>
      <w:r>
        <w:rPr>
          <w:b/>
        </w:rPr>
        <w:t>E. 12</w:t>
      </w:r>
    </w:p>
    <w:p>
      <w:r>
        <w:t>S’agissant tout d’abord de l’évaluation de la capacité de travail de la recourante, il est admis que la recourante a présenté une capacité de travail nulle du 2 septembre 2015 au 20 avril 2016. Dès le 21 avril 2016, sa capacité de travail est de 30% selon l’intimé et de 25% selon la recourante. Ces deux appréciations sont fondées sur l’expertise du Dr E______ du 2 mars 2020 et ses compléments des 11 septembre 2020 et 23 juin 2022. Il convient dès lors de déterminer la capacité de travail exigible de la recourante au 21 avril 2016.![endif]&gt;![if&gt;</w:t>
      </w:r>
    </w:p>
    <w:p>
      <w:r>
        <w:rPr>
          <w:b/>
        </w:rPr>
        <w:t>E. 12.1</w:t>
      </w:r>
    </w:p>
    <w:p>
      <w:r>
        <w:t>Le 2 mars 2020, le Dr E______ a estimé que la recourante présentait, depuis le 2 septembre 2015, une capacité de travail de 25%, soit une activité exercée à un taux de 50%, avec une diminution de rendement de 50% en raison de la nécessité de changer régulièrement de position. Il a précisé que ce taux tenait compte du fait que la recourante assumait des tâches ménagères. Les 11 septembre 2020 et 23 juin 2022, il a précisé que la capacité de travail, sans tenir compte d’une fatigue préalable à l’exercice d’une activité professionnelle, due à l’activité ménagère, était finalement de 60%, avec une diminution de rendement de 50%, de sorte qu’elle était de 30%.![endif]&gt;![if&gt;</w:t>
      </w:r>
    </w:p>
    <w:p>
      <w:r>
        <w:rPr>
          <w:b/>
        </w:rPr>
        <w:t>E. 12.2</w:t>
      </w:r>
    </w:p>
    <w:p>
      <w:r>
        <w:t>La recourante estime que sa capacité de travail doit prendre en compte sa situation réelle et concrète, soit l’existence d’une activité ménagère impactant son exigibilité professionnelle, de sorte que celle-ci est de 25% et non pas de 30%. La recourante prétend ainsi à la prise en considération d’effets réciproques dommageables au sens de la jurisprudence précitée, singulièrement de l’effet dommageable de l’activité ménagère sur sa capacité de travail.![endif]&gt;![if&gt; Or, en l’occurrence, le Dr E______ n’a pas fait état d’éléments permettant de reconnaitre que la recourante présenterait une diminution de son aptitude à exercer une activité à un taux de 30%, en raison des efforts consentis dans les travaux habituels, étant rappelé que cette diminution, pour être admise, doit être manifeste et dépasser la mesure normale et que, selon le rapport d’enquête ménagère, la recourante bénéficie d’une aide de son époux, dont l’exigibilité de 30% peut, comme il sera exposé ci-après, être confirmée. En outre, l’intimé, dans son calcul du degré d’invalidité du 31 août 2022, a appliqué au taux de capacité de travail exigible de 30% une diminution de rendement de 10%, de sorte que le taux de capacité de travail finalement retenu est de 27%. Or, une diminution de rendement a déjà été prise en compte dans la fixation du taux de 30%, le Dr E______ ayant expliqué que l’exigibilité était de 60%, avec une baisse de rendement de 50% due à la nécessité pour la recourante de changer de position. L’application d’une diminution de rendement supplémentaire de 10% apparait ainsi généreuse, ce d’autant qu’elle est appliquée en sus d’un abattement de 10%, correspondant à la déduction jurisprudentielle précitée, retenu en raison d’une activité à temps partiel seule possible.</w:t>
      </w:r>
    </w:p>
    <w:p>
      <w:r>
        <w:rPr>
          <w:b/>
        </w:rPr>
        <w:t>E. 12.3</w:t>
      </w:r>
    </w:p>
    <w:p>
      <w:r>
        <w:t>Au vu de ce qui précède, l’exigibilité professionnelle au taux de 27%, telle que retenue par l’intimé, ne peut qu’être confirmée.![endif]&gt;![if&gt;</w:t>
      </w:r>
    </w:p>
    <w:p>
      <w:r>
        <w:rPr>
          <w:b/>
        </w:rPr>
        <w:t>E. 13</w:t>
      </w:r>
    </w:p>
    <w:p>
      <w:r>
        <w:t>La recourante conteste ensuite l’évaluation de ses empêchements dans la sphère ménagère.![endif]&gt;![if&gt;</w:t>
      </w:r>
    </w:p>
    <w:p>
      <w:r>
        <w:rPr>
          <w:b/>
        </w:rPr>
        <w:t>E. 13.1</w:t>
      </w:r>
    </w:p>
    <w:p>
      <w:r>
        <w:t>Le rapport d’enquête économique sur le ménage, du 12 mai 2021, est fondé sur une visite à domicile de l’enquêtrice de 15 minutes le 10 mai 2021, suivie d’un entretien téléphonique avec la recourante de 2h55. Il conclut à un empêchement de la recourante de 48% et, compte tenu d’une exigibilité de son époux de 30%, à un empêchement de 18%.![endif]&gt;![if&gt;</w:t>
      </w:r>
    </w:p>
    <w:p>
      <w:r>
        <w:rPr>
          <w:b/>
        </w:rPr>
        <w:t>E. 13.2</w:t>
      </w:r>
    </w:p>
    <w:p>
      <w:r>
        <w:t>La recourante conteste l’évaluation de ses empêchements et le taux d’exigibilité retenu pour son époux, en faisant valoir le rapport du service d’ergothérapie de la clinique de Valmont, du 4 octobre 2021, concluant à un empêchement de la recourante de 56%, à une exigibilité de son époux de 25% et à un empêchement avec exigibilité de, finalement, 31%.![endif]&gt;![if&gt;</w:t>
      </w:r>
    </w:p>
    <w:p>
      <w:r>
        <w:rPr>
          <w:b/>
        </w:rPr>
        <w:t>E. 13.2.1</w:t>
      </w:r>
    </w:p>
    <w:p>
      <w:r>
        <w:t>S’agissant du déroulement de l’enquête et contrairement au grief de la recourante, l’enquêtrice s’est effectivement rendue au domicile de la recourante le 10 mai 2021 pour une courte visite, cela pour répondre à la demande de la recourante, laquelle préférait s’expliquer à l’occasion d’un entretien téléphonique avec l’enquêtrice (cf. note de travail de l’OAI du 10 mai 2021 et rapport du service des évaluations de l’OAI du 2 novembre 2021). Il n’y a pas lieu, dans ces conditions, de mettre en cause la procédure d’enquête.![endif]&gt;![if&gt;</w:t>
      </w:r>
    </w:p>
    <w:p>
      <w:r>
        <w:rPr>
          <w:b/>
        </w:rPr>
        <w:t>E. 13.2.2</w:t>
      </w:r>
    </w:p>
    <w:p>
      <w:r>
        <w:t>S’agissant des empêchements, le rapport du service d’ergothérapie de la clinique de Valmont diffère de celui de l’intimé concernant les postes, d’une part, entretien du logement et garde des animaux domestiques (taux d’empêchement retenu de 80% au lieu de 50%) et, d’autre part, achats et courses diverses (taux d’empêchement retenu de 90% au lieu de 30%).![endif]&gt;![if&gt;</w:t>
      </w:r>
    </w:p>
    <w:p>
      <w:r>
        <w:rPr>
          <w:b/>
        </w:rPr>
        <w:t>E. 13.2.2.1</w:t>
      </w:r>
    </w:p>
    <w:p>
      <w:r>
        <w:t>Il convient préalablement de constater que la critique de la recourante relativement à l’évaluation de ses empêchements dans le domaine de l’alimentation (elle cite un véritable fossé entre les observations de l’enquêtrice et l’évaluation de ses empêchements dans ce domaine) n’est pas pertinente, dès lors que le rapport du service d’ergothérapie de la clinique de Valmont, sur lequel elle se fonde, retient un empêchement similaire à celui évalué par l’enquêtrice, soit de 50%. ![endif]&gt;![if&gt;</w:t>
      </w:r>
    </w:p>
    <w:p>
      <w:r>
        <w:rPr>
          <w:b/>
        </w:rPr>
        <w:t>E. 13.2.2.2</w:t>
      </w:r>
    </w:p>
    <w:p>
      <w:r>
        <w:t>S’agissant de l’entretien du logement, l’enquêtrice a retenu que la recourante pouvait passer l’aspirateur de manière fractionnée (il était exigible qu’elle acquiert un robot-aspirateur), effectue le nettoyage des WC, des lavabos, des miroirs de la salle de bains, sort les chiens (petit tour), s’occupe des plantes d’intérieur ; les gros travaux de nettoyage étant effectués par l’époux, l’empêchement était de 50%. L’enquêtrice a considéré que la recourante pouvait participer aux activités plus lourdes en fractionnant son travail et en allant à son rythme, en respectant l’alternance des positions ; enfin, elle a tenu compte du fait qu’avant l’atteinte à la santé, la recourante n’effectuait déjà pas certaines tâches, prises en charge par son époux ou une femme de ménage. ![endif]&gt;![if&gt; Selon le rapport du service d’ergothérapie de la clinique de Valmont, la recourante passe l’aspirateur mais pas quotidiennement, elle peut faire la poussière en séquençant l’activité, s’occupe de ses plantes d’intérieur, peut sortir les chiens en se limitant à de petites ballades ; or, ces constatations rejoignent en tous points celles de l’enquêtrice, étant relevé que le rapport du service d’ergothérapie de la clinique de Valmont ne se prononce pas sur la capacité de la recourante à nettoyer les WC, les lavabos et les miroirs de la salle de bains, ni à participer, dans sa mesure et à son rythme, aux tâches d’entretien du logement plus lourdes, ni encore à la possibilité pour la recourante d’acquérir des appareils ménagers comme un robot-aspirateur, pour lui faciliter la tâche, ni enfin à la situation de la recourante qui n’assumait pas, avant son atteinte à la santé, certaines tâches ménagères. Le taux d’empêchement de 80% retenu par le rapport du service d’ergothérapie de la clinique de Valmont ne saurait, dans ces conditions, être préféré ; la fixation par l’enquêtrice d’un taux d’empêchement de 50%, au vu de toutes les circonstances précitées prises en compte, n’est pas critiquable.</w:t>
      </w:r>
    </w:p>
    <w:p>
      <w:r>
        <w:rPr>
          <w:b/>
        </w:rPr>
        <w:t>E. 13.2.2.3</w:t>
      </w:r>
    </w:p>
    <w:p>
      <w:r>
        <w:t>S’agissant du poste achats et courses diverses, l’enquêtrice a retenu que la recourante préparait une liste de courses, son époux se chargeant de celles-ci. Elle gérait les tâches administratives à raison de ¾, il n’y avait donc pas d’empêchement dans la gestion des tâches administratives. Il était exigible qu’elle recourt à des livraisons à domicile et qu’elle effectue des courses légères ; l’empêchement était de 30%. ![endif]&gt;![if&gt; Le rapport du service d’ergothérapie de la clinique de Valmont retient que la réalisation des tâches administratives n’est pas affectée par le handicap de la recourante ; la recourante accompagne son époux pour faire les courses ; l’organisation du quotidien était ressentie comme stressante, la recourante devant répartir les tâches et rendement en fonction de ses douleurs. Or, ces constats rejoignent ceux de l’enquêtrice, sans toutefois se prononcer sur l’exigibilité du recours aux achats en ligne, avec livraison à domicile, ni sur la possibilité de faire de petites courses complémentaires. Dans ces conditions, l’empêchement retenu de 90% par le rapport du service d’ergothérapie de la clinique de Valmont n’est pas convaincant, ce d’autant qu’aucun empêchement n’est retenu dans la gestion des tâches administratives.</w:t>
      </w:r>
    </w:p>
    <w:p>
      <w:r>
        <w:rPr>
          <w:b/>
        </w:rPr>
        <w:t>E. 13.2.3</w:t>
      </w:r>
    </w:p>
    <w:p>
      <w:r>
        <w:t>Au vu de ce qui précède, les empêchements établis par l’enquête économique sur le ménage, du 12 mai 2021, ne peuvent qu’être confirmés.![endif]&gt;![if&gt;</w:t>
      </w:r>
    </w:p>
    <w:p>
      <w:r>
        <w:rPr>
          <w:b/>
        </w:rPr>
        <w:t>E. 13.2.4</w:t>
      </w:r>
    </w:p>
    <w:p>
      <w:r>
        <w:t>Quant à la modification de la pondération des différents postes, elle n’est pas motivée par le rapport du service d’ergothérapie de la clinique de Valmont et n’apparait pas pertinente, les postes achats et courses diverses étant réduit, à un taux de 5%, sans explication.![endif]&gt;![if&gt;</w:t>
      </w:r>
    </w:p>
    <w:p>
      <w:r>
        <w:rPr>
          <w:b/>
        </w:rPr>
        <w:t>E. 13.2.5</w:t>
      </w:r>
    </w:p>
    <w:p>
      <w:r>
        <w:t>Enfin, la recourante conteste l’exigibilité de son époux, fixée à 30%. L’enquêtrice a retenu que celui-ci pouvait participer aux tâches ménagères. A cet égard, le rapport du service d’ergothérapie de la clinique de Valmont se borne à indiquer que l’époux travaille à 100% et qu’il aide la recourante au quotidien lorsqu’il rentre du travail et, sur cette base, retient une exigibilité de 25%. Or, le taux de 30%, contrairement à l’avis de la recourante, n’est, dans ces conditions, pas critiquable et, en particulier, aucun élément ressortant du rapport du service d’ergothérapie de la clinique de Valmont ne permet de s’en écarter, en particulier ne permet d’établir que l’époux de la recourante subirait une charge excessive (à cet égard arrêt du TF 9C_787/2014 du 30 septembre 2015, consid. 3.3.).![endif]&gt;![if&gt;</w:t>
      </w:r>
    </w:p>
    <w:p>
      <w:r>
        <w:rPr>
          <w:b/>
        </w:rPr>
        <w:t>E. 13.3</w:t>
      </w:r>
    </w:p>
    <w:p>
      <w:r>
        <w:t>Au vu de ce qui précède, l’empêchement pondéré avec exigibilité de 18% peut être confirmé, tout comme l’invalidité ménagère qui en résulte de 3,6% (18% x 20%).![endif]&gt;![if&gt;</w:t>
      </w:r>
    </w:p>
    <w:p>
      <w:r>
        <w:rPr>
          <w:b/>
        </w:rPr>
        <w:t>E. 14</w:t>
      </w:r>
    </w:p>
    <w:p>
      <w:r>
        <w:t>![endif]&gt;![if&gt;</w:t>
      </w:r>
    </w:p>
    <w:p>
      <w:r>
        <w:rPr>
          <w:b/>
        </w:rPr>
        <w:t>E. 14.1</w:t>
      </w:r>
    </w:p>
    <w:p>
      <w:r>
        <w:t>La recourante conteste également le revenu sans invalidité retenu par l’intimé, soit CHF 71'001.25 et prétend à la prise en compte d’un revenu de CHF 78'100.-.![endif]&gt;![if&gt; Or, il convient de constater que même si ce dernier montant était pris en considération, le calcul du degré d’invalidité ne lui donnerait pas droit à une rente entière d’invalidité, étant relevé que le revenu d’invalide (fondé sur l’ESS 2016, TA1, femme, total, avec un niveau de compétence de niveau 2, pour 41,7 heures de travail par semaine à un taux de 27%, avec un abattement de 10%) n’est pas contesté, soit CHF 14'689.- en 2016.</w:t>
      </w:r>
    </w:p>
    <w:p>
      <w:r>
        <w:rPr>
          <w:b/>
        </w:rPr>
        <w:t>E. 14.1.1</w:t>
      </w:r>
    </w:p>
    <w:p>
      <w:r>
        <w:t>Selon l’ancien calcul, en vigueur jusqu’au 31 décembre 2017, le degré d’invalidité, en 2016, se présente comme suit, tenant compte d’un revenu sans invalidité à un taux de 80% (80% x CHF 78'100) : ![endif]&gt;![if&gt; 62'480 - 14'689 = 76,49% 62’480 Ramené à un statut d’active à 80%, il est de 61,19%. Augmenté de l’invalidité ménagère de 3,6%, il est finalement de 64,79, soit 65%. Ce taux donne droit à trois-quarts de rente d’invalidité.</w:t>
      </w:r>
    </w:p>
    <w:p>
      <w:r>
        <w:rPr>
          <w:b/>
        </w:rPr>
        <w:t>E. 14.1.2</w:t>
      </w:r>
    </w:p>
    <w:p>
      <w:r>
        <w:t>Selon le nouveau calcul, en vigueur dès le 1 er janvier 2018, le degré d’invalidité se présente comme suit :![endif]&gt;![if&gt; 78'100 - 14'689 = 81,19% 78'100 Ramené au statut d’active à 80%, il est de 64,95%. Augmenté de l’invalidité ménagère de 3,6%, il est finalement de 68,55%, soit 69%. Ce taux donne droit à un trois-quarts de rente d’invalidité. Au vu de ce qui précède, la recourante a droit à un trois-quarts de rente d’invalidité.</w:t>
      </w:r>
    </w:p>
    <w:p>
      <w:r>
        <w:rPr>
          <w:b/>
        </w:rPr>
        <w:t>E. 14.2</w:t>
      </w:r>
    </w:p>
    <w:p>
      <w:r>
        <w:t>L’intimé a reconnu le droit de la recourante à un trois-quarts de rente d’invalidité dès le 1 er avril 2017, en mentionnant qu’il s’agit du moment de l’échéance du délai de carence (écriture de l’intimé du 31 août 2022). Cependant, la décision litigieuse admet que le délai de carence a débuté le 2 septembre 2015, la recourante étant effectivement, dès cette date, reconnue totalement incapable de travailler. Le délai de carence d’un an est ainsi venu à échéance le 1 er septembre 2016, de sorte que, compte tenu du dépôt de la demande de prestations le 20 mars 2016, le droit à la rente d’invalidité nait le 1 er septembre 2016.![endif]&gt;![if&gt;</w:t>
      </w:r>
    </w:p>
    <w:p>
      <w:r>
        <w:rPr>
          <w:b/>
        </w:rPr>
        <w:t>E. 15</w:t>
      </w:r>
    </w:p>
    <w:p>
      <w:r>
        <w:t>En conséquence, le recours sera partiellement admis, la décision litigieuse annulée et il sera dit que la recourante a droit à un trois-quarts de rente d’invalidité depuis le 1 er septembre 2016.![endif]&gt;![if&gt; La recourante obtenant partiellement gain de cause, une indemnité de CHF 3'000.-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