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A/1935/2008 vom 24. Juni 2014</w:t>
      </w:r>
    </w:p>
    <w:p>
      <w:r>
        <w:t>GE Cour de justice, 2014-06-24, FR</w:t>
      </w:r>
    </w:p>
    <w:p>
      <w:r>
        <w:rPr>
          <w:b/>
        </w:rPr>
        <w:t xml:space="preserve">Quelle: </w:t>
      </w:r>
      <w:r>
        <w:t>https://mcp.opencaselaw.ch/entscheid/ge_gerichte_A_1935_2008</w:t>
      </w:r>
    </w:p>
    <w:p>
      <w:r>
        <w:t>FR: GE_GERICHTE A/1935/2008 du 24 juin 2014</w:t>
      </w:r>
    </w:p>
    <w:p>
      <w:r>
        <w:t>IT: GE_GERICHTE A/1935/2008 del 24 giugno 2014</w:t>
      </w:r>
    </w:p>
    <w:p>
      <w:pPr>
        <w:pStyle w:val="Heading2"/>
      </w:pPr>
      <w:r>
        <w:t>Regeste</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 LIFD.58 ; LHID.24.al1.leta ; LIPM.11 ; LIPM.12</w:t>
      </w:r>
    </w:p>
    <w:p>
      <w:pPr>
        <w:pStyle w:val="Heading2"/>
      </w:pPr>
      <w:r>
        <w:t>Volltext</w:t>
      </w:r>
    </w:p>
    <w:p>
      <w:r>
        <w:t>Genève Cour de justice (Cour de droit public) Chambre administrative 24.06.2014 A/1935/2008</w:t>
      </w:r>
    </w:p>
    <w:p>
      <w:r>
        <w:t>IMPÔT FÉDÉRAL DIRECT ; IMPÔT CANTONAL ET COMMUNAL ; IMPÔT SUR LE BÉNÉFICE DES ENTREPRISES ; BÉNÉFICE NET DU COMPTE DE PROFITS ET PERTES ; PRINCIPE EN MATIÈRE DE DROIT FISCAL ; IMPOSITION SELON LA CAPACITÉ ÉCONOMIQUE ; ÉGALITÉ DE TRAITEMENT | Confirmation de jurisprudence (ATF | LIFD.57 ; LIFD.58 ; LHID.24.al1.leta ; LIPM.11 ; LIPM.12</w:t>
      </w:r>
    </w:p>
    <w:p>
      <w:r>
        <w:t>A/1935/2008 ATA/471/2014 du 24.06.2014 sur JTAPI/434/2011 ( IFD ) , REJETE Recours TF déposé le 04.09.2014, rendu le 31.08.2015, REJETE, 2C_768/2014 , 2C_769/2014 Descripteurs : IMPÔT FÉDÉRAL DIRECT ; IMPÔT CANTONAL ET COMMUNAL ; IMPÔT SUR LE BÉNÉFICE DES ENTREPRISES ; BÉNÉFICE NET DU COMPTE DE PROFITS ET PERTES ; PRINCIPE EN MATIÈRE DE DROIT FISCAL ; IMPOSITION SELON LA CAPACITÉ ÉCONOMIQUE ; ÉGALITÉ DE TRAITEMENT Normes : LIFD.57 ; LIFD.58 ; LHID.24.al1.leta ; LIPM.11 ; LIPM.12 Résumé : Confirmation de jurisprudence (ATF 136 II 88 ).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composantes distinctes des fonds propres. Cette règle correctrice, dictée par le principe de l'imposition selon la capacité économique, n'emporte pas de violation du principe de l'égalité de traitement. En fait En droit république et canton de genève POUVOIR JUDICIAIRE A/1935/2008 - IFD ATA/471/2014 COUR DE JUSTICE Chambre administrative Arrêt du 24 juin 2014 dans la cause A______ SA représentée par Me Pierre-Marie Glauser, avocat contre ADMINISTRATION FISCALE CANTONALE et ADMINISTRATION FéDéRALE DES CONTRIBUTIONS _________ Recours contre le jugement du Tribunal administratif de première instance du 9 mai 2011 ( JTAPI/434/2011 ) EN FAIT 1) A______ SA (ci-après : la société) est une société anonyme constituée à Genève le 19 octobre 1992. Selon le registre du commerce, elle est active dans « le commerce, l'importation et l'exportation de B______ », de même que dans le commerce et l'exploitation de services et de produits alimentaires. Ses activités se déployant presque exclusivement à l'étranger, elle tient sa comptabilité en dollars américains (USD) qui constituent sa monnaie fonctionnelle. Afin de répondre aux exigences de la loi fédérale complétant le Code civil suisse du 30 mars 1911 (Livre cinquième : Droit des obligations - CO - RS 220) et du droit fiscal suisse, elle convertit en fin d'année ses comptes en francs suisses (CHF), soit en monnaie de présentation. Pour ce faire, elle applique la méthode dite du cours de clôture : les éléments figurant au bilan sont convertis en utilisant le cours du 31 décembre de l'année en question, alors que la conversion des comptes de produits et de charges utilise le cours moyen de la même année. 2) Dans sa déclaration fiscale 2006, la société a mentionné un bénéfice net de CHF 1'372'131.-. Celui-ci tenait compte d'une « perte de conversion » de CHF 947'098.-, inscrite en tant que charge dans le compte de pertes et profits en raison de la dépréciation du dollar américain par rapport au franc suisse. 3) Le 6 novembre 2007, l'Administration fiscale cantonale (ci-après : AFC-GE) a notifié à la société des bordereaux de taxation concernant l'impôt cantonal et communal (ci-après : ICC) 2006 et l'impôt fédéral direct (ci-après : IFD) 2006. Parmi d'autres reprises, la perte de conversion de CHF 947'098.- n'était pas admise et ce montant réintégré dans le bénéfice et le capital imposables de la société. 4) Le 10 décembre 2007, la société a saisi l'AFC-GE de réclamations contre les bordereaux précités, concluant notamment à ce que la perte de conversion litigieuse soit prise en compte dans les taxations litigieuses. La perte en question représentait une moins-value réelle dans ses comptes en CHF qui étaient déterminants pour la fixation du bénéfice et du capital imposables. Les taxations litigieuses étaient arbitraires, dans la mesure où le gain de conversion, qu'elle avait comptabilisé en 2005, avait été imposé. 5) Par décisions ICC et IFD du 28 avril 2008, l'AFC-GE a rejeté les réclamations de la société. S'agissant, en particulier, de l'écart de conversion, elle n'était pas tenue par les erreurs commises au cours de la période fiscale antérieure, dans la mesure où une nouvelle taxation naissait chaque année. 6) Le 22 mai 2008, la société a recouru contre les décisions précitées auprès de la commission cantonale de recours en matière d'impôts et la commission cantonale de recours de l'impôt fédéral direct, en concluant à leur annulation. Ces deux commissions ont ultérieurement fusionné et leurs compétences ont été reprises par la commission cantonale de recours en matière administrative (ci-après : la commission), elle-même devenue depuis lors le Tribunal administratif de première instance (ci-après : TAPI). 7) Le 26 novembre 2009, la commission a invité la société à lui faire savoir si elle entendait poursuivre la procédure, suite à l'arrêt rendu le 1 er octobre 2009 par le Tribunal fédéral sur une problématique similaire (ATF 136 II 88 ). 8) Le 12 février 2010, la société a maintenu son recours contre les décisions sur réclamation du 28 avril 2008. 9) Le 18 mars 2010, l'AFC-GE s'est engagée à rectifier le montant du capital imposable de la société, concluant au rejet du recours pour le surplus, soit au maintien de la reprise de la perte de conversion dans le bénéfice imposable de la société. 10) Dans une note du 15 février 2011 (disponible sur http://www.steuerkonferenz.ch/fr/?Documents:Analyses), la Conférence suisse des impôts (ci-après : CSI) a, par l'intermédiaire de son comité, approuvé l'ATF 136 II 88 . Si la conversion de la monnaie fonctionnelle à la monnaie de présentation s'effectuait selon la méthode du cours de clôture, l'imposition devait porter sur les comptes annuels établis en CHF approuvés par l'assemblée générale. D'éventuels écarts de conversion n'avaient pas d'incidence sur le résultat imposable. Comptabilisés dans les produits et les charges selon les règles légales applicables, ils étaient neutralisés par le biais de règles correctrices fiscales. Une éventuelle provision au bilan pour des écarts de conversion résultant du passage de la monnaie fonctionnelle à la monnaie de présentation pouvait être attribuée aux réserves ouvertes, sans conséquence fiscale sur le bénéfice. Même en cas de liquidation de la société, les écarts de conversion dus au passage de la monnaie fonctionnelle à la monnaie de présentation étaient sans incidence fiscale. 11) Par jugement du 9 mai 2011 ( JTAPI/434/2011 ), reçu le 23 mai 2011, le TAPI a joint les recours, les a rejetés s'agissant de l'IFD et les a admis partiellement s'agissant de l'ICC, donnant acte à l'AFC-GE de ce qu'elle s'engageait à déduire la perte de conversion du montant retenu jusqu'ici à titre de capital imposable pour l'année 2006. Dans l'ATF 136 II 88 , le Tribunal fédéral avait refusé de prendre en compte les écarts de conversion dans la détermination du bénéfice imposable. Il n'y avait pas lieu de s'écarter de cette jurisprudence approuvée par la doctrine majoritaire. Le Tribunal fédéral avait rejeté l'argument selon lequel les écarts de conversion équivalaient à des différences de change. Cet argument partait de la fausse prémisse que la comptabilité fonctionnelle de la société serait tenue en CHF, alors qu'elle l'était en USD. La conversion des comptes en monnaie de présentation ne se rapportait au surplus pas à une transaction commerciale, mais ne constituait qu'une opération d'ajustement. L'exemple chiffré, que la société présentait à l'appui de son recours, faussait le débat, puisqu'il portait sur une opération réalisée en cours d'exercice qui avait effectivement induit une différence de change. Il n'était pas contesté que le résultat de l'activité d'une société était bien influencé par ce type d'opérations. La déduction de l'écart de conversion négatif de CHF 947'098.- devait, partant, être refusée dans le cadre de l'imposition du bénéfice de la société au titre de l'ICC et de l'IFD. 12) Par acte du 22 juin 2011, la société a recouru auprès de la chambre administrative de la Cour de justice (ci-après : la chambre administrative) contre le jugement précité, concluant à son annulation, au renvoi du dossier à l'AFC-GE pour l'établissement de nouveaux bordereaux ICC et IFD 2006, ainsi qu'à l'allocation d'une équitable indemnité de procédure. La jurisprudence du Tribunal fédéral devait être réexaminée. L'objet de l'impôt sur le bénéfice consistait en l'accroissement net du patrimoine durant la période fiscale. Il comprenait non seulement le produit de l'activité d'une entreprise résultant du compte de pertes et profits, mais également l'accroissement ou la diminution des fonds propres enregistrée au bilan, sous réserve des apports ou des retraits effectués par les détenteurs du capital. Selon le principe de déterminance (« Massgeblichkeitsprinzip »), l'enrichissement d'une société se mesurait à l'aune de sa comptabilité commerciale, dans le respect du principe de l'imposition selon la capacité contributive garanti par l'art. 8 de la Constitution fédéral du 18 avril 1999 (Cst. - RS 101). Même si, comme le laissait entendre le Tribunal fédéral, la norme comptable internationale IFRS/IAS 21 devait être utilisée pour combler une lacune du droit suisse, l'intégration directe dans le bilan des écarts de conversion - positifs ou négatifs - n'interdisait pas de les prendre en compte dans la détermination du bénéfice imposable. Dans le cas présent, les normes IFRS ne s'imposaient pas et pouvaient tout au plus servir d'outil d'interprétation dans le cadre de la fixation de l'assiette imposable. Peu importait que l'écart de conversion soit comptabilisé au compte de résultat ou au bilan, la seule question déterminante étant de savoir si une perte résultant de la conversion de postes au bilan de la monnaie fonctionnelle à la monnaie de présentation affectait la capacité contributive d'une société et entraînait, partant, un accroissement ou une diminution de son patrimoine. Le droit fiscal suisse précisait que les produits inscrits directement au bilan faisaient partie du bénéfice imposable. À l'inverse, si l'accroissement des fonds propres se révélait inférieur et que cette divergence résultait de charges directement passées au bilan, ce montant devait également être déterminant fiscalement. Les sociétés incorporées dans l'ordre juridique suisse devaient établir leurs comptes en CHF, soit dans une monnaie de présentation qui leur était imposée. L'examen de leur capacité contributive et de l'évolution de leur patrimoine devait donc nécessairement se faire dans cette monnaie officielle et non dans la monnaie fonctionnelle qu'elles choisissaient d'utiliser par commodité et simplification. Dans la mesure où la concrétisation de la capacité contributive, à savoir le paiement de l'impôt, devait s'effectuer en CHF, la mesure de l'impôt devait également s'effectuer dans cette monnaie. La conception inverse du Tribunal fédéral, selon laquelle la capacité contributive d'une entreprise s'appréciait selon sa monnaie fonctionnelle, contrevenait ainsi au CO. Le Tribunal fédéral avait ignoré la question de l'impact de la tenue d'une comptabilité en monnaie étrangère sur les fonds propres d'une société et de ses incidences sur d'autres dispositions légales applicables en matière de surendettement (art. 725 CO), d'interdiction de restitution du capital (art. 680 al. 2 CO) ou d'impôt anticipé. Or, chez les sociétés ayant accumulé des bénéfices et disposant de réserves importantes en monnaies étrangères, la dévaluation de leur monnaie fonctionnelle avait pour corollaire la diminution de leurs fonds propres en CHF. En indiquant que les écarts de conversion devaient figurer au bilan, le Tribunal fédéral avait néanmoins confirmé implicitement que ceux-ci influençaient bien la valeur des fonds propres et ne constituaient donc pas des pertes virtuelles. Le TAPI l'avait également admis en jugeant que l'écart de conversion devait être déduit des fonds propres imposables. En bonne logique, l'influence des écarts de conversion sur le bénéfice net d'une société aurait de surcroît dû être admise, en vertu de la définition unanime de l'objet de cet impôt frappant l'augmentation des fonds propres durant la période fiscale. Le fait de ne pas prendre en compte les écarts de conversion dans la détermination du bénéfice imposable créait une inégalité de traitement, comme le démontraient les simulations comptables annexées au recours. Le contribuable qui tenait ses comptes dans une monnaie fonctionnelle différente du CHF était injustement discriminé par rapport au contribuable qui tenait ses comptes dans la monnaie officielle (tout en disposant d'une monnaie fonctionnelle étrangère) : le premier se voyait refuser la déductibilité de ses pertes de conversion, alors que le second pouvait déduire les pertes de change résultant de la conversion « au jour le jour » des opérations réalisées dans une monnaie autre que le CHF. Dans l'exemple fourni, l'entreprise effectuait rigoureusement les mêmes opérations et transactions et procédait aux mêmes flux financiers. Dans la première hypothèse, elle choisissait toutefois de tenir ses comptes en USD, alors que dans la seconde, elle choisissait de tenir ses comptes en CHF et convertissait jour après jour dans cette monnaie officielle les opérations et flux de fonds effectués dans sa monnaie fonctionnelle étrangère. Or, le résultat de l'entreprise était identique dans les deux cas, alors qu'elle ne pouvait déduire ses pertes de change que dans la seconde hypothèse. Refuser la déductibilité des pertes de conversion entraînait donc bien une inégalité de traitement prohibée, le choix discrétionnaire d'une société de tenir ou non ses comptes dans une monnaie fonctionnelle autre que le CHF ne constituant pas une différence objective justifiant un traitement fiscal différent. Les normes IFRS stipulaient par ailleurs que le résultat de l'activité d'une entreprise devait être identique, que la conversion ait lieu au jour le jour ou seulement en fin d'année. Le référentiel IFRS était évolutif. Le Tribunal fédéral s'était appuyé sur la version 2006 de ces normes, dont il avait livré une interprétation erronée. La lecture conjointe des normes IAS 21 et IAS 1, dans leur teneur de l'époque, indiquait déjà que les écarts de conversion, quelle que soit leur nature, étaient des éléments de revenus et de charges, à enregistrer directement dans les fonds propres, mais dont il fallait tenir compte dans le total des revenus et des charges. Le Tribunal fédéral ne pouvait ainsi pas déduire de la norme IAS 21 que les pertes de conversion ne constituaient pas un réel appauvrissement de la société, ni qu'elles n'étaient pas déductibles du bénéfice imposable. En outre, le référentiel IFRS avait notablement évolué en 2009, achevant de contredire la position du Tribunal fédéral. Dans sa nouvelle teneur, la norme IAS 21 précisait que toutes les différences de change qui en résultaient devaient également être enregistrées sous « autres revenus globaux », tandis que la norme IAS 1 parlait de « revenu global » et plus seulement de revenu. Ces précisions confirmaient que le référentiel ne faisait aucune distinction entre les écarts de conversion et les différences de change liées aux gains et pertes de change afférentes aux opérations et transactions résultant de l'activité d'une entreprise. Elles confirmaient surtout que ces écarts de change constituaient bien du revenu. Selon les normes IFRS, toutes les différences de change devaient figurer dans le résultat global (« statement of comprehensive income ») et seules les modifications des fonds propres liées aux actionnaires/associés (« equity owners ») devaient être traitées au bilan, hors compte de résultat. La perte de conversion de CHF 947'098.- enregistrée dans ses états financiers constituait donc bien une charge déductible du bénéfice imposable. 13) Le 15 juillet 2011, le TAPI a transmis son dossier et persisté dans les considérants et le dispositif de son jugement sans autres observations. 14) Le 17 août 2011, l'AFC-GE a conclu au rejet du recours, en se fondant principalement sur l'ATF 136 II 88 . 15) Le 20 octobre 2011, l'Administration fédérale des contributions (AFC-CH) s'est également opposée au recours. Le résultat auquel le Tribunal fédéral était parvenu dans son arrêt du 1 er octobre 2009 ne prêtait pas le flanc à la critique et devait être confirmé. Si les entités concernées choisissaient, d'une part, d'utiliser une monnaie fonctionnelle différente de celle du CHF et, d'autre part, d'utiliser la méthode du cours de clôture (current ou closing-rate method) pour procéder à la conversion de la monnaie fonctionnelle à la monnaie de présentation, d'éventuels écarts de conversion devaient demeurer sans incidence sur le résultat imposable. Le Tribunal fédéral n'avait pas appliqué les normes IFRS, mais s'en était inspiré pour développer sa jurisprudence et élaborer, en l'absence d'une disposition légale expresse, une règle correctrice sur le traitement fiscal des écarts de conversion. Cette règle correctrice respectait le principe de déterminance, puisque contrairement aux pertes de change, les écarts de change négatifs ne constituaient pas des dépenses justifiées par l'usage commercial. Il se justifiait dès lors de les rajouter au bénéfice imposable. Le principe de la prudence et celui d'imparité étaient, de même, respectés. Une perte de conversion n'était pas une perte de change, mais une perte artificielle due aux écritures comptables de conversion des états financiers, de sorte que les créanciers ne pouvaient pas être lésés par sa non-comptabilisation. Le bilan dressé en CHF lors du bouclement de l'exercice commercial prenait, de toute manière, les écarts de conversion en compte lors de la détermination prudente des fonds propres de la société, sans qu'il soit pour autant nécessaire que ces écarts grèvent d'abord le compte de résultat. L'absence de prise en compte des écarts de conversion dans la détermination du bénéfice imposable ne violait pas le principe de l'égalité de traitement. Les contribuables étaient libres d'adopter la monnaie fonctionnelle de leur choix, comme d'opter pour la méthode du cours de clôture lors de la conversion de leur monnaie fonctionnelle étrangère en monnaie de présentation. Les différences de traitement en résultant sur le plan fiscal n'étaient que les conséquences de ces choix. Le principe de concordance et celui de l'imposition selon la capacité contributive étaient également respectés. Pour procéder à une imposition correspondant effectivement à la capacité économique d'une société, les comptes en monnaie fonctionnelle étaient déterminants. Ils permettaient de déterminer le bénéfice produit dans une période de temps donnée, indépendamment d'écarts positifs ou négatifs résultant d'écritures comptables liées à la présentation de comptes annuels en CHF. Ces comptes en monnaie fonctionnelle n'étaient néanmoins pas déterminants pour la fixation du dividende, laquelle devait se faire sur la base des comptes convertis en CHF comme l'exigeait le CO. Les créanciers ne pouvaient ainsi pas être lésés par une présentation trop favorable des fonds propres de la société en monnaie étrangère. La règle développée par le TF n'était qu'une règle correctrice fiscale, sans impact sur le plan comptable. Elle exigeait que les écarts de correction figurent au bilan, dans la mesure où ceux-ci n'affectaient que le capital et non l'accroissement du patrimoine sur une période fiscale donnée. L'imposition du capital se basait sur une situation patrimoniale figée à la date du bouclement d'un exercice commercial et n'avait rien à voir avec la détermination du profit réalisé au cours de ce même exercice. 16) Le 1 er décembre 2011, la société a répliqué. L'ensemble du système comptable et fiscal suisse consacrait le principe absolu que la détermination des états financiers des sociétés commerciales, la fixation de l'assiette de l'impôt, le calcul et le paiement de ce dernier ont lieu en CHF. Les sociétés qui tenaient leur comptabilité courante en USD devaient obligatoirement procéder à la conversion de leurs états financiers, pour se conformer à leurs obligations légales. Leur capacité contributive devait donc s'apprécier en CHF. Selon la pratique comptable, les actifs et passifs, comprenant notamment l'actif net, soit les fonds propres, étaient convertis au taux de clôture. Le compte de pertes et profits était en revanche converti au taux moyen de l'exercice. Dès lors que les taux de conversion de l'actif net et du compte de pertes et profits différaient et que le résultat du compte de pertes et profits faisait partie de l'actif net, le résultat augmentant ou réduisant les fonds propres suivant l'existence d'un bénéfice ou d'une perte, il en découlait inévitablement un écart de conversion. Ce dernier reflétait la différence de taux utilisé pour une même substance, à savoir le résultat d'un exercice, traité d'abord comme tel dans le compte de pertes et profits au taux de change annuel moyen, puis automatiquement intégré aux fonds propres, eux-mêmes convertis au taux de change du jour de clôture de l'exercice. Le taux de change annuel moyen utilisé pour la conversion du compte de pertes et profits était choisi, car il s'appliquait à des transactions réalisées tout au long de l'année. Une société pourrait néanmoins choisir de convertir son résultat annuel directement au taux de clôture, en incorporant directement la perte de conversion afférente à l'augmentation de ses fonds propres au compte de résultat. En lui déniant le droit de faire valoir sa perte de conversion comme une charge réduisant l'augmentation de ses fonds propres durant l'année 2006, l'AFC-CH et le Tribunal fédéral dans sa jurisprudence lui imposait en réalité de calculer son bénéfice imposable au taux de change annuel moyen, exigence qui ne figurait pas dans la législation et contrevenait au fait que sa capacité contributive devait être appréciée en CHF. Ils adoptaient une position duale et contradictoire en considérant, d'une part, que l'érosion monétaire, à savoir la baisse du USD par rapport au CHF, n'avait pas d'influence sur sa capacité contributive, tout en donnant, d'autre part, à la même érosion monétaire un plein effet du fait du calcul et du paiement de l'impôt en CHF. Cette position entraînait une distorsion de la capacité contributive, laquelle était susceptible de conduire à une imposition supérieure au taux d'impôt légal. Les écarts de conversion exprimaient une réelle dépréciation de la fortune nette d'une société et constituaient à l'évidence une charge justifiée par l'usage commercial qui devait être prise en compte dans la détermination de la capacité contributive. En dehors des modifications de comptes expressément prévues par la loi, il n'y avait pas place pour une nouvelle règle correctrice dérogeant au principe de déterminance. 17) Par courriers du 5 et 8 décembre 2011, les parties ont été informées que la cause était gardée à juger. 18) Le 22 décembre 2011, le conseiller national Jacques Bourgeois a déposé une motion n°11.4132 sollicitant la modification des lois fiscales en relation avec les écarts de conversion des états financiers (disponible sur http://www.parlament.ch/f/suche/Pages/geschaefte.aspx?gesch_id=20114132). Une telle modification des lois permettrait de corriger l'injustice qui découlait de l'application de l'ATF 136 II 88 , lequel pénalisait sérieusement les entreprises étrangères établies en Suisse du fait que les pertes de conversion du bilan en fin d'année n'étaient pas déductibles. Il existait une distorsion de traitement entre les sociétés qui tenaient leurs comptes en CHF et celles qui le faisaient en monnaie étrangère. Si les premières nommées possédaient des valeurs au bilan en monnaies étrangères, elles pouvaient comptabiliser une perte de cours non réalisée dans leur compte de résultat, tandis qu'un bénéfice de cours non réalisé pouvait être provisionné au passif du bilan. 19) Le 1 er février 2012, le Conseil fédéral a proposé le rejet de cette motion. L'égalité de traitement visée par l'auteur de la motion avec les sociétés qui tenaient leur comptabilité en CHF n'était pas possible, à moins que toutes les opérations comptables d'une société soient converties au fur et à mesure en CHF. Selon le Tribunal fédéral, les pertes résultant de la conversion en CHF (monnaie de présentation) des actifs et des passifs d'une société tenant sa comptabilité en monnaie étrangère ne constituaient pas des charges justifiées par l'usage commercial et n'étaient donc pas déductibles. Le bénéfice annuel établi dans la monnaie étrangère fonctionnelle était, par conséquent, déterminant pour fixer le bénéfice net imposable. Les différences au bilan en CHF résultant de la conversion de la monnaie étrangère fonctionnelle n'étaient que des valeurs comptables et ne constituaient pas des gains ou des pertes de change pour la société. Elles n'étaient pas comptabilisées non plus, mais simplement indiquées dans le compte annuel converti en CHF. Les sociétés exportatrices suisses qui tenaient leur comptabilité en CHF n'étaient pas concernées. Tenir sa comptabilité dans une monnaie fonctionnelle étrangère relevait du libre choix d'une société, mais dans ce cas, elle devait s'en tenir, du point de vue fiscal, au compte annuel établi dans cette monnaie fonctionnelle étrangère et il n'y avait pas de discrimination. 20) Dans une note d'analyse sur le nouveau droit comptable du 12 février 2013 (disponible sur http://www.steuerkonferenz.ch/fr/?Documents:Analyses), la CSI a, par l'intermédiaire de son comité, indiqué que la pratique fiscale relative aux écarts de conversion demeurait inchangée. La modification du CO du 23 décembre 2011 (RO 2012 6679-6702), entrée en vigueur le 1 er janvier 2013, avait inscrit dans la loi les principes énoncés par le Tribunal fédéral. Les écarts de conversion de la monnaie fonctionnelle étrangère en monnaie suisse n'avaient pas d'incidence fiscale. 21) Le 9 septembre 2013, le Conseil national a rejeté la motion n° 11.4132 par 126 voix contre 59. 22) Le 26 septembre 2013, le conseiller national Hans Kaufmann a déposé une motion n° 13.3852 (disponible sur http://www.parlament.ch/f/suche/pages/ geschaefte.aspx?gesch_id=20133852), ayant le même objet que la précédente citée. L'ATF 136 II 88 avait été prononcé avant la révision de la loi sur la présentation des comptes. Depuis la modification en question, les grandes entreprises suisses cotées en Bourse étaient tenues de présenter également en CHF leurs comptes annuels complets. Ces comptes annuels convertis en CHF, y compris les écarts de conversion, devaient donc eux aussi être déterminants pour les impôts, traitement fiscal qui devrait également bénéficier aux petites entreprises. 23) Le 20 novembre 2013, le Conseil fédéral a proposé au Conseil national de rejeter cette nouvelle motion. Le nouveau droit comptable autorisait expressément l'établissement des comptes dans la monnaie nationale ou dans la monnaie étrangère fonctionnelle. Si les comptes étaient établis dans une monnaie étrangère fonctionnelle, le texte légal exigeait que les contre-valeurs soient aussi indiquées en CHF. En outre, les cours de conversion utilisés devaient être mentionnés et éventuellement commentés dans l'annexe. L'indication des contre-valeurs en CHF se justifiait par le fait que les destinataires des comptes ne devaient pas être contraints de procéder eux-mêmes à la conversion. Le nouveau droit n'était donc rien d'autre que la base légale sur laquelle se fondait le traitement, jusqu'à présent sans incidence fiscale, des écarts de conversion de la monnaie étrangère en CHF d'après la jurisprudence du Tribunal fédéral. L'ATF 136 II 88 n'allait pas à l'encontre du principe de l'imposition selon la capacité économique, les entreprises étant libres de tenir leurs comptes en monnaie étrangère fonctionnelle. De plus, un gain ou une perte de change qui ne devait pas être comptabilisée n'avait aucune influence sur les fonds qui étaient à disposition de l'entreprise. 24) Le 5 juin 2014, la motion n° 13.3852 a été classée, son auteur ayant quitté le conseil national. EN DROIT 1) Interjeté en temps utile devant la juridiction compétente, le recours est recevable (art. 132 de la loi sur l'organisation judiciaire du 26 septembre 2010 - LOJ -E 2 05 ; art. 62 al. 1 let. a de la loi sur la procédure administrative du 12 septembre 1985 - LPA - E 5 10). 2) La question à trancher dans le présent litige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 En l'espèce, la recourante a comptabilisé une perte de conversion de CHF 947'098.- dans ses états financiers au 31 décembre 2006. Par décisions de taxation IFD et ICC du 6 novembre 2007, confirmées sur réclamation le 28 avril 2008, l'AFC-GE a refusé la déduction de ce montant inscrit en tant que charge dans le compte de pertes et profits et l'a réintégré tant dans le bénéfice que dans le capital imposables de la société. En cours de procédure de première instance, elle s'est ensuite engagée à déduire la perte de conversion litigieuse du capital imposable de la société, persistant pour le surplus dans ses décisions. Le litige ne portant plus que sur le bénéfice imposable déterminant pour l'IFD et l'ICC, le TAPI a, dans son jugement du 9 mai 2011, suivi la position de l'AFC-GE et considéré que les écarts de conversion ne devaient pas être pris en compte dans le résultat de l'exercice 2006. IFD 2006 3) 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 true and fair », comme celui prévalant dans les normes de comptabilité internationales (Pierre-Marie GLAUSER, Apports et impôt sur le bénéfice, vol. 2, 2005, p. 96-97). 4) Le droit suisse de la comptabilité commerciale figure aux art. 957 et suivants du CO. Ces dispositions ont été modifiées, par révision du 23 décembre 2011 entrée en vigueur le 1 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code des obligations, du 21 décembre 2007, FF 2008 1407, p. 1410). 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 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 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 Le litige porte sur des décisions de taxation IFD pour l'année 2006. C'est donc à l'aune de l'ancien droit, dans sa teneur en vigueur jusqu'au 31 décembre 2012, qu'il doit être résolu. 5) 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 Sur ce point, l'ancien et le nouveau droit comptable prévoient donc une réglementation similaire. 6) Pour le surplus, le droit comptable ne règle pas la conversion des comptes tenus en monnaie fonctionnelle étrangère dans la monnaie nationale de présentation. 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 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 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 Les normes comptables internationales, élaborées par le bureau des standards comptables internationaux, prévoient un autre mode de comptabilisation des écarts de conversion litigieux. 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 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7) Dans l'ATF 136 II 88 , le Tribunal fédéral a tranché la question de savoir si les écarts de conversion influencent le bénéfice imposable d'une personne morale. Il a confirmé la solution à laquelle la juridiction de céans était parvenue dans l' ATA/562/2008 du 4 novembre 2008. 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 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 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ceux-ci n'étaient pas établis conformément aux règles comptables (consid. 5.1). 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 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 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8) 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 er octobre 2009, ECS 6-7-/10 p. 418 ss ; Marco DUSS/Fabien DUSS, Währungsdifferenzen aus Umrechnung bei Buchführung in Fremdwährung, ST 6-7/10 p. 407 ss). 9) Les différents griefs soulevés par la recourante n'infirment pas le raisonnement suivi par le Tribunal fédéral dans l'ATF 136 II 88 . La conclusion à laquelle notre Haute Cour est parvenue dispose d'un fondement juridique solide auquel il convient de se rallier. 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 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 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 10) Pour en comprendre la portée, la notion d'écarts de conversion doit s'appréhender en parallèle de celles de monnaie fonctionnelle et de monnaie de présentation. La monnaie fonctionnelle se définit comme celle qui caractérise l'environnement économique d'une entreprise, soit la monnaie la plus importante eu égard à ses activités (ATF 136 II 88 consid. 4.1 et les références citée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 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 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 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impacte le fonctionnement de l'entreprise concernée. A l'inverse, des écarts de conversion enregistrés sur chacune des rubriques d'une entreprise tenues en monnaie étrangère n'impactent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11)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 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 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 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12)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n'impactent pas la monnaie fonctionnelle de l'entreprise et n'ont que peu ou pas d'effet direct sur ses flux de trésorerie actuels ou futurs (ch. 41). Ils ne doivent figurer qu'au bilan, afin d'équilibrer l'actif et le passif. 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13) La recourante soutient avec raison qu'indépendamment de leur mode de comptabilisation, la seule question déterminante pour l'issue du présent litige est de savoir si un écart de conversion positif ou négatif affecte la capacité contributive d'une entreprise et accroît ou réduit son capital propre entre le début et la fin de la période fiscale. Elle erre toutefois lorsqu'elle prétend que l'examen de cette capacité contributive et de l'évolution du patrimoine d'une entreprise devrait s'apprécier sur la base des comptes convertis en monnaie de présentation. 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 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14) Contrairement à ce que soutient la recourante, le Tribunal fédéral n'a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En tout état de cause, la règle correctrice querellée ne déploie ses effets qu'au niveau fiscal, les comptes statutaires demeurant déterminants pour l'application des dispositions de droit commercial (Robert DANON, Commentaire Romand, op. cit., n. 45 ad art. 57-58 LIFD). 15) Quant au grief d'inégalité de traitement soulevé par le recourante, il n'a pas plus de substance. 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 ème éd., 2012, p. 35, n. 21 et les références jurisprudentielles citées, ainsi que n. 38). 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 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 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16) En l'espèce, la recourante tient sa comptabilité en USD qui constituent sa monnaie fonctionnelle. La conversion de ses comptes afférents à l'exercice 2006 en monnaie suisse de présentation a généré un écart de change de CHF 947'098.-. Ce dernier ne correspond pas à des pertes de change que cette entreprise aurait subies lors de transactions opérées dans d'autres monnaies que sa monnaie fonctionnelle et qui figureraient dans ses comptes établis en USD. Il ne s'agit que d'un écart de conversion au sens défini plus haut, soit d'un ajustement comptable apparu lors de la conversion de ses comptes en CHF et dépourvu d'impact réel sur son fonctionnement. Cet écart de conversion, destiné à équilibrer ses comptes, ne constitue donc pas une dépense justifiée par l'usage commercial. Conformément à l'art. 58 al. 1 let. b LIFD, l'AFC-GE était, partant, en droit de s'écarter des comptes qui lui étaient présentés et de réintégrer le montant de CHF 947'098.- dans le bénéfice imposable de la recourante. En tant qu'il parvient à la même conclusion, le jugement du TAPI en matière d'IFD doit être confirmé. ICC 2006 17)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 énoncés aux lettres b à i de cette même disposition, ainsi que des produits qui n'ont pas été comptabilisés dans le compte de résultat au sens de la let. j. Bien que rédigé différemment, l'art. 12 LIPM a la même portée que l'art. 58 al. 1 LIFD ( ATA/337/2013 du 28 mai 2013 ; ATA/633/2011 du 11 octobre 2011 ; ATA/152/2011 du 8 mars 2011). Toutes les considérations émises ci-dessus pour la taxation IFD 2006 sont donc également valables pour l'ICC sur le bénéfice. La recourante ne pouvait pas porter en déduction de son bénéfice net la perte de conversion de CHF 947'098.- qui, du point de vue fiscal, doit s'appréhender en tant que composante distincte de ses fonds propres. Pour le reste, il n'y a pas de contradiction à ce que cette perte de conversion soit parallèlement déduite du capital imposable au sens des art. 27 ss LIPM. En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 Le grief de violation du droit cantonal doit donc être écarté. 18) En tous points mal fondé, le recours sera rejeté. Vu l'issue du litige, un émolument de CHF 3'000.- sera mis à la charge de la recourante, qui succombe (art. 87 al. 1 LPA), et aucune indemnité ne lui sera allouée (art. 87 al. 2 LPA). * * * * * PAR CES MOTIFS LA CHAMBRE ADMINISTRATIVE à la forme : déclare recevable le recours interjeté le 22 juin 2011 par A______ SA contre le jugement du Tribunal administratif de première instance du 9 mai 2011 ; au fond : le rejette ; met un émolument de CHF 3'000.- à la charge de A______ SA ; dit qu'il n'est pas alloué d'indemnité de procédure ; dit que conformément aux art. 82 ss de loi fédérale sur le Tribunal fédéral du 17 juin 2005 (LTF - RS 173.110),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Pierre-Marie Glauser, avocat de la recourante, à l'administration fiscale cantonale, au Tribunal administratif de première instance, ainsi qu'à l'administration fédérale des contributions. Siégeants : M. Verniory, président, MM. Thélin et Dumartheray,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