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A/1930/2011 vom 13. Oktober 2011</w:t>
      </w:r>
    </w:p>
    <w:p>
      <w:r>
        <w:t>GE Cour de justice, 2011-10-13, FR</w:t>
      </w:r>
    </w:p>
    <w:p>
      <w:r>
        <w:rPr>
          <w:b/>
        </w:rPr>
        <w:t xml:space="preserve">Quelle: </w:t>
      </w:r>
      <w:r>
        <w:t>https://mcp.opencaselaw.ch/entscheid/ge_gerichte_A_1930_2011</w:t>
      </w:r>
    </w:p>
    <w:p>
      <w:r>
        <w:t>FR: GE_GERICHTE A/1930/2011 du 13 octobre 2011</w:t>
      </w:r>
    </w:p>
    <w:p>
      <w:r>
        <w:t>IT: GE_GERICHTE A/1930/2011 del 13 ottobre 2011</w:t>
      </w:r>
    </w:p>
    <w:p>
      <w:pPr>
        <w:pStyle w:val="Heading2"/>
      </w:pPr>
      <w:r>
        <w:t>Volltext</w:t>
      </w:r>
    </w:p>
    <w:p>
      <w:r>
        <w:t>Genève Cour de justice (Cour de droit public) Chambre des assurances sociales 13.10.2011 A/1930/2011</w:t>
      </w:r>
    </w:p>
    <w:p>
      <w:r>
        <w:t>A/1930/2011 ATAS/964/2011 du 13.10.2011 ( LPP ) , PARTAGE LPP En fait En droit république et canton de genève POUVOIR JUDICIAIRE A/1930/2011 ATAS/964/2011 COUR DE JUSTICE Chambre des assurances sociales Arrêt du 13 octobre 2011 3ème Chambre En la cause Monsieur N___________, domicilié à GENEVE Madame N___________, domiciliée à Collonge-Bellerive, comparant avec élection de domicile en l'étude de Maître GRABOWSKI Jaroslaw demandeurs contre FONDATION DE LIBRE PASSAGE D’UBS SA. 4002 Bâle défenderesse EN FAIT Par jugement du 11 avril 2011, la 13me chambre du Tribunal de première instance a prononcé le divorce de Madame N___________, née O___________ en 1972, et Monsieur N___________ , né en 1966, lesquels s’étaient mariés en date du 2 juillet 1993. Au chiffre 15 du dispositif du jugement précité, le Tribunal de première instance a donné acte aux parties de leur accord de se partager par moitié les avoirs de prévoyance professionnelle acquis durant le mariage. Le jugement de divorce, devenu définitif le 31 mai 2011,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2 juillet 1993 et le 31 mai 2011. S'agissant du demandeur - dont il convient de relever qu'il n’est arrivé en Suisse qu’en juin 1999, il est apparu, après consultation du rassemblement de ses comptes individuels : - que d’octobre 1999 à décembre 2005, il a travaillé pour X___________ et a été affilié à sa caisse de pension ; - que cette dernière a transmis son avoir sur un compte de libre passage auprès du CRÉDIT SUISSE qui l’a transféré à son tour à la CAISSE DE PENSION DE CITIBANK N.A. à laquelle le demandeur a été affilié à compter de janvier 2006 et jusqu’en août 2009 (cf. attestation du CS du 22 mars 2006) ; - que la CAISSE DE PENSION DE CITIBANK N.A. a ensuite transmis l’avoir du demandeur à la caisse de pension de son nouvel employeur en date du 31 août 2009 (cf. attestation du 22 mars 2011) ; - que le demandeur est désormais affilié - depuis le 1er septembre 2009 - à la CAISSE DE PENSION DE RBS COUTTS BANK LTD ; que son avoir s’élevait, en date du 31 mai 2011, à 1'015'583 fr. 60 (cf. courrier de la caisse du 17 août 2011) ; que cet avoir a été transféré à la FONDATION DE LIBRE PASSAGE D’UBS SA à Bâle (compte 514122). Quant à la demanderesse - dont il convient de relever qu'elle est arrivée en Suisse en même temps que son époux -, il s'est avéré : qu'elle a été affiliée à la CAISSE INTER-ENTREPRISES DE PRÉVOYANCE PROFESSIONNELLE (CIEPP) de janvier 2003 à novembre 2006 (cf. courrier de la CIEPP du 29 août 2011) ; que son avoir a ensuite été transféré à la FONDATION DE LIBRE PASSAGE D’UBS SA (compte 385194) ; que son avoir s’élevait, en date du 31 mai 2011, à 11'473 fr. 50 (cf. courrier d’UBS du 6 septembre 2011). Les documents recueillis au cours de l’instruction ont été transmis aux parties, auxquelles il a été indiqué qu’à défaut d’observations de leur part dans le délai imparti, un arrêt serait rendu sur cette base. Interrogée par la Cour de céans, la CAISSE DE PENSION DE CITIBANK a confirmé que le montant de 149'000 fr. prélevé par le demandeur sur son avoir en mars 2004 pour acquérir un logement avait été remboursé en décembre 2007.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du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 juillet 1993, date du mariage, d’autre part le 31 mai 2011, date à laquelle le jugement de divorce est devenu exécutoire. Selon les documents produits, la prestation acquise pendant le mariage par le demandeur s'élève à 1'015'583 fr. 60 tandis que celle acquise par la demanderesse atteint la somme de 11'473 fr. 50, les intérêts ayant déjà été calculés par les institutions de prévoyance défenderesses. Ainsi le demandeur doit à son ex-épouse le montant de 507'791 fr. 80 (1'015'583.60 : 2) alors qu'elle lui doit celui de 5'736 fr. 75 (11'473.50 : 2), de sorte que c’est en définitive le demandeur qui doit à son ex-épouse le montant de 502’055 fr. 05 (507'791.80 - 5'736.75).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LIBRE PASSAGE D'UBS à Bâle à transférer, du compte de Monsieur N___________ (compte _______) à celui de Madame N___________, née O___________ (compte ___________), la somme de 502’055 fr. 05, ainsi que des intérêts compensatoires au sens des considérants, dès le 1 er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