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A/1927/2021 vom 5. August 2022</w:t>
      </w:r>
    </w:p>
    <w:p>
      <w:r>
        <w:t>GE Cour de justice, 2022-08-05, FR</w:t>
      </w:r>
    </w:p>
    <w:p>
      <w:r>
        <w:rPr>
          <w:b/>
        </w:rPr>
        <w:t xml:space="preserve">Quelle: </w:t>
      </w:r>
      <w:r>
        <w:t>https://mcp.opencaselaw.ch/entscheid/ge_gerichte_A_1927_2021</w:t>
      </w:r>
    </w:p>
    <w:p>
      <w:r>
        <w:t>FR: GE_GERICHTE A/1927/2021 du 5 août 2022</w:t>
      </w:r>
    </w:p>
    <w:p>
      <w:r>
        <w:t>IT: GE_GERICHTE A/1927/2021 del 5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ATAS/360/2021 du 15 avril 2021 consid. 3).![endif]&gt;![if&gt;</w:t>
      </w:r>
    </w:p>
    <w:p>
      <w:r>
        <w:rPr>
          <w:b/>
        </w:rPr>
        <w:t>E. 4</w:t>
      </w:r>
    </w:p>
    <w:p>
      <w:r>
        <w:t>Le 1 er janvier 2022 sont entrées en vigueur les modifications de la LAI du 19 juin 2020 (développement continu de l’AI ; RO 2021 705).![endif]&gt;![if&gt;</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références).![endif]&gt;![if&gt;</w:t>
      </w:r>
    </w:p>
    <w:p>
      <w:r>
        <w:rPr>
          <w:b/>
        </w:rPr>
        <w:t>E. 4.2</w:t>
      </w:r>
    </w:p>
    <w:p>
      <w:r>
        <w:t>En l’occurrence, la décision querellée (du 7 mai 2021) a été rendue antérieurement au 1 er janvier 2022, de sorte que les dispositions légales applicables seront citées dans leur ancienne teneur.![endif]&gt;![if&gt;</w:t>
      </w:r>
    </w:p>
    <w:p>
      <w:r>
        <w:rPr>
          <w:b/>
        </w:rPr>
        <w:t>E. 5</w:t>
      </w:r>
    </w:p>
    <w:p>
      <w:r>
        <w:t>Le délai de recours est de trente jours (art. 56 et 60 LPGA ; art. 62 al. 1 let. a de la de loi sur la procédure administrative du 12 septembre 1985 [LPA - E 5 10]). ![endif]&gt;![if&gt; Interjeté dans la forme (art. 61 let. b LPGA) et le délai prévus par la loi, le recours est recevable.</w:t>
      </w:r>
    </w:p>
    <w:p>
      <w:r>
        <w:rPr>
          <w:b/>
        </w:rPr>
        <w:t>E. 6</w:t>
      </w:r>
    </w:p>
    <w:p>
      <w:r>
        <w:t>Le litige porte, dans le cadre de la nouvelle demande de prestations du 24 septembre 2019, sur le droit du recourant à une rente entière d'invalidité. ![endif]&gt;![if&gt;</w:t>
      </w:r>
    </w:p>
    <w:p>
      <w:r>
        <w:rPr>
          <w:b/>
        </w:rPr>
        <w:t>E. 7</w:t>
      </w:r>
    </w:p>
    <w:p>
      <w:r>
        <w:t>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3.1).![endif]&gt;![if&gt;</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9</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moins.![endif]&gt;![if&gt;</w:t>
      </w:r>
    </w:p>
    <w:p>
      <w:r>
        <w:rPr>
          <w:b/>
        </w:rPr>
        <w:t>E. 9.1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w:t>
      </w:r>
    </w:p>
    <w:p>
      <w:r>
        <w:rPr>
          <w:b/>
        </w:rPr>
        <w:t>E. 9.2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![endif]&gt;![if&gt;</w:t>
      </w:r>
    </w:p>
    <w:p>
      <w:r>
        <w:rPr>
          <w:b/>
        </w:rPr>
        <w:t>E. 10</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 Selon l'art. 29 ter du règlement sur l'assurance-invalidité du 17 janvier 1961 (RAI - RS 831.201), il y a interruption notable de l'incapacité de travail au sens de l'art. 28 al. 1 let. b LAI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des assurances I.392/05 et I.420/05 du 24 août 2006 consid. 4.2).</w:t>
      </w:r>
    </w:p>
    <w:p>
      <w:r>
        <w:rPr>
          <w:b/>
        </w:rPr>
        <w:t>E. 11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I.786/04 du 19 janvier 2006 consid. 3.1).![endif]&gt;![if&gt;</w:t>
      </w:r>
    </w:p>
    <w:p>
      <w:r>
        <w:rPr>
          <w:b/>
        </w:rPr>
        <w:t>E. 11.1</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![endif]&gt;![if&gt;</w:t>
      </w:r>
    </w:p>
    <w:p>
      <w:r>
        <w:rPr>
          <w:b/>
        </w:rPr>
        <w:t>E. 11.2</w:t>
      </w:r>
    </w:p>
    <w:p>
      <w:r>
        <w:t>Le Tribunal fédéral a modifié sa pratique lors de l'examen du droit à une rente d'invalidité en cas de troubles psychiques (ATF 143 V 409 consid. 4.5 et ATF 143 V 418 consid. 6 et 7 du 30 novembre 2017).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 ATAS/945/2018 du 17 octobre 2018 consid. 6b).![endif]&gt;![if&gt;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w:t>
      </w:r>
    </w:p>
    <w:p>
      <w:r>
        <w:rPr>
          <w:b/>
        </w:rPr>
        <w:t>E. 11.3</w:t>
      </w:r>
    </w:p>
    <w:p>
      <w:r>
        <w:t>Les principes jurisprudentiels développés en matière de troubles somatoformes douloureux sont également applicables à la fibromyalgie (ATF 132 V 65 consid. 4.1). ![endif]&gt;![if&gt;</w:t>
      </w:r>
    </w:p>
    <w:p>
      <w:r>
        <w:rPr>
          <w:b/>
        </w:rPr>
        <w:t>E. 11.4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12.1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w:t>
      </w:r>
    </w:p>
    <w:p>
      <w:r>
        <w:rPr>
          <w:b/>
        </w:rPr>
        <w:t>E. 12.2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12.3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![endif]&gt;![if&gt;</w:t>
      </w:r>
    </w:p>
    <w:p>
      <w:r>
        <w:rPr>
          <w:b/>
        </w:rPr>
        <w:t>E. 12.4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12.5</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14</w:t>
      </w:r>
    </w:p>
    <w:p>
      <w:r>
        <w:t>En l'espèce, il convient d'examiner si l'état de santé du recourant, qui avait été victime d'une chute dans les escaliers le 5 mars 2014, s'est péjoré entre le 5 décembre 2017, date de la décision rejetant la première demande de prestations confirmée par la chambre de céans le 27 mai 2019 ( ATAS/464/2019 qui n'a pas été déféré au Tribunal fédéral) et le 7 mai 2021, date de la décision querellée, niant le droit du recourant aux prestations de l'assurance-invalidité, en particulier à une rente. ![endif]&gt;![if&gt;</w:t>
      </w:r>
    </w:p>
    <w:p>
      <w:r>
        <w:rPr>
          <w:b/>
        </w:rPr>
        <w:t>E. 14.1</w:t>
      </w:r>
    </w:p>
    <w:p>
      <w:r>
        <w:t>À l'époque, la chambre de céans avait reconnu une pleine valeur probante au rapport d'examen rhumato-psychiatrique du 14 août 2017, qui retenait les diagnostics de trouble somatoforme indifférencié, de status post contusion de la région lombaire et de l'épaule gauche, ainsi que de pré-obésité, lesquels n’avaient pas de répercussion sur la capacité de travail du recourant, qui était entière, dans toute activité dès le 31 mars 2015. ![endif]&gt;![if&gt; Ainsi, à l'échéance de six mois à compter du dépôt tardif de la demande de prestations, au 1 er juin 2015 (art. 29 al. 1 LAI), le recourant ne présentait aucune incapacité de gain.</w:t>
      </w:r>
    </w:p>
    <w:p>
      <w:r>
        <w:rPr>
          <w:b/>
        </w:rPr>
        <w:t>E. 14.2</w:t>
      </w:r>
    </w:p>
    <w:p>
      <w:r>
        <w:t>La décision litigieuse du 7 mai 2021 se fonde, quant à elle, sur l'avis du SMR du 12 février 2021, lui-même basé sur le rapport d'expertise rhumato-psychiatrique du 11 janvier 2021 établi par les Drs B______ (rhumatologue) et C______ (psychiatre), ainsi que sur l'avis du SMR du 7 mai 2021. ![endif]&gt;![if&gt;</w:t>
      </w:r>
    </w:p>
    <w:p>
      <w:r>
        <w:rPr>
          <w:b/>
        </w:rPr>
        <w:t>E. 14.3</w:t>
      </w:r>
    </w:p>
    <w:p>
      <w:r>
        <w:t>Les experts, spécialistes des disciplines médicales pertinentes eu égard aux atteintes à la santé invoquées (rhumatologie et psychiatrie), ont étudié les pièces médicales du dossier, y compris les documents d'imagerie ; ils ont tenu compte des plaintes du recourant et ont procédé à l'examen clinique de celui-ci. ![endif]&gt;![if&gt;</w:t>
      </w:r>
    </w:p>
    <w:p>
      <w:r>
        <w:rPr>
          <w:b/>
        </w:rPr>
        <w:t>E. 14.3.1</w:t>
      </w:r>
    </w:p>
    <w:p>
      <w:r>
        <w:t>Sur le plan somatique, l'expert rhumatologue a posé les diagnostics, avec effet sur la capacité de travail, de syndrome cervical et lombaire sans signe de compression radiculaire des membres supérieurs et inférieurs sur discrète uncodiscarthrose C4-C5, C5-C6 et C6-C7 et discrète discopathie L3-L4 et L4-L5 et protrusion discale L5-S1, en s'appuyant notamment sur les imageries par résonance magnétique (ci-après : IRM) de la colonne cervicale du 14 novembre 2019 et de la colonne dorso-lombaire du 2 octobre 2018, ainsi que sur son examen clinique (rapport d'expertise p. 30-31). Sur cette base, il a estimé que si le recourant est certes inapte à exercer son activité habituelle de nettoyeur de tapis depuis le 10 novembre 2017, en revanche, dans une activité adaptée, sans port fréquent de charges supérieures à 5 kg, ni station assise, debout ou accroupie prolongée (soit permettant l'alternance des positions), il peut travailler à plein temps dès le 31 mars 2015. ![endif]&gt;![if&gt;</w:t>
      </w:r>
    </w:p>
    <w:p>
      <w:r>
        <w:rPr>
          <w:b/>
        </w:rPr>
        <w:t>E. 14.3.1.1</w:t>
      </w:r>
    </w:p>
    <w:p>
      <w:r>
        <w:t>Le recourant reproche à l'expert rhumatologue de ne pas avoir admis le diagnostic de fibromyalgie, posé par son médecin généraliste dans le rapport du 13 mars 2020 (dossier AI p. 678-685 document dont l'expert a pris connaissance [rapport d'expertise p. 15]). Il allègue souffrir de douleurs dans tout le corps, alors que l'expert n'a retenu que 10 points douloureux sur 18, selon les critères de l'American College of Rheumatology développés dans les années 1990, sans que celui-ci n'explique les motifs pour lesquels il n'avait pas appliqué les nouveaux critères de diagnostic de la fibromyalgie disponibles sur le site rhumato.info et mis à jour le 29 septembre 2015, lesquels pourtant prenaient mieux en compte la fatigue et les troubles du sommeil, symptômes évoqués par le Dr E______ dans le rapport du 16 mars 2021. ![endif]&gt;![if&gt; Or, c'est le lieu de rappeler que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C'est également le lieu de rappeler que la fibromyalgie est une affection rhumatismale reconnue par l'organisation mondiale de la santé (CIM-10 : M79.0), caractérisée par une douleur généralisée et chronique du système ostéo-articulaire et s'accompagnant généralement d'une constellation de perturbations essentiellement subjectives (telles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Ainsi, quoi qu'en dise le recourant, ce qui importe, c'est de déterminer si, en dépit de ses douleurs ostéo-articulaires et de ses troubles du sommeil et de fatigue, il est en mesure d'exécuter une tâche ou une action. À cet effet, il y a lieu d'examiner le caractère, le cas échéant, invalidant de la fibromyalgie à l'aune de tous les indicateurs jurisprudentiels (ATF 141 V 281 consid. 4 ; pour cette analyse : voir consid. 14.3.2.2 ci-dessous).</w:t>
      </w:r>
    </w:p>
    <w:p>
      <w:r>
        <w:rPr>
          <w:b/>
        </w:rPr>
        <w:t>E. 14.3.1.2</w:t>
      </w:r>
    </w:p>
    <w:p>
      <w:r>
        <w:t>L'expert rhumatologue considère que la péjoration de l'état somatique du recourant remonte au 10 novembre 2017, en se référant au rapport du même jour du service de rhumatologie des HUG, selon lequel une reprise de l'activité professionnelle semblait actuellement irréalisable (rapport d'expertise p. 11 et 36 ; dossier AI p. 426). ![endif]&gt;![if&gt; Dans son avis du 12 février 2021, le SMR retient plutôt la date du 7 juillet 2018, correspondant à celle de la consultation au service des urgences des HUG pour une lombosciatalgie gauche non déficitaire (rapport d'expertise p. 13 ; dossier AI p. 496-497). Dans la mesure où, le 10 novembre 2017, les examens effectués n'avaient pas mis en évidence de trouble neurologique, de syndrome inflammatoire ou de signe de sacro-illite (rapport d'expertise p. 11 ; dossier AI p. 426), et que l'IRM de la colonne dorso-lombaire du 2 octobre 2018, peu après la consultation précitée aux urgences, a révélé une protrusion discale L5-S1 pour laquelle le recourant a bénéficié d'une infiltration épidurale le 11 décembre 2018 (avis du SMR précité ; dossier AI p. 507), on peut admettre, avec le SMR, et au degré de la vraisemblance prépondérante, que l'état de santé somatique du recourant s'est dégradé à compter du 7 juillet 2018, date à partir de laquelle celui-ci est inapte à travailler comme nettoyeur de tapis (activité habituelle). Quant à la fixation par l'expert rhumatologue de la capacité de travail dans une activité adaptée au 31 mars 2015 (rapport d'expertise p. 36), elle correspond à la date qui a été retenue dans le rapport d'examen rhumato-psychiatrique du 14 août 2017 jugé probant par la chambre de céans dans l' ATAS/464/2019 du 27 mai 2019 opposant les parties aux termes duquel le recourant dispose d'une pleine capacité de travail résiduelle, dans une activité adaptée, dès le 31 mars 2015 (dossier AI p. 292). Le SMR, par contre, estime que le recourant peut exercer une activité adaptée depuis toujours (avis du 12 février 2021). Or, ce faisant, il omet les conséquences de la chute dont a été victime le recourant, le 5 mars 2014, sur la capacité de travail de celui-ci. Aussi convient-il d'admettre que, si le recourant ne peut effectivement plus exercer son activité habituelle depuis le 7 juillet 2018, en raison de l'aggravation de son état de santé somatique, celle-ci ne l'empêche, en revanche, pas de travailler à plein temps dans une activité adaptée (eu égard à l'appréciation circonstanciée de l'expert rhumatologue, laquelle repose tant sur l'analyse des rapports médicaux, que des documents d'imagerie et de son examen clinique), ce en tous cas dès le 7 juillet 2018, pour autant que cette activité respecte les limitations fonctionnelles d'épargne du rachis, soit éviter le port fréquent de charges supérieures à 5 kg, le mouvement en porte-à-faux du tronc, et tout travail impliquant les membres supérieurs au-dessus de l'horizontale, ainsi que de pouvoir alterner les positions assise, debout, voire accroupie (rapport d'expertise p. 36 ; avis du SMR du 12 février 2021).</w:t>
      </w:r>
    </w:p>
    <w:p>
      <w:r>
        <w:rPr>
          <w:b/>
        </w:rPr>
        <w:t>E. 14.3.2</w:t>
      </w:r>
    </w:p>
    <w:p>
      <w:r>
        <w:t>Sur le plan psychiatrique, l'experte psychiatre, après avoir fait état de ses constatations objectives, ne retient aucun diagnostic incapacitant (rapport d'expertise p. 45), tout en expliquant les motifs pour lesquels elle s'est écartée de l'appréciation des psychiatres figurant au dossier (p. 47-49). ![endif]&gt;![if&gt;</w:t>
      </w:r>
    </w:p>
    <w:p>
      <w:r>
        <w:rPr>
          <w:b/>
        </w:rPr>
        <w:t>E. 14.3.2.1</w:t>
      </w:r>
    </w:p>
    <w:p>
      <w:r>
        <w:t>Le recourant s'étonne que l'experte n'ait pas retenu les diagnostics posés par son psychiatre traitant, dont notamment le trouble somatoforme douloureux. Il allègue que l'anamnèse contenue dans le rapport d'expertise est diamétralement différente de celle résumée par son psychiatre traitant dans le rapport du 29 mars 2021. Il conteste le résultat de 7 points sur l'échelle de la dépression de Hamilton mentionné par l'experte, en faisant valoir que le résultat détaillé (questions et réponses) ne figure pas dans le rapport d'expertise et que les tests effectués trois mois plus tard aux HUG avaient montré, à l'inverse, un épisode dépressif sévère. Il relève que l'experte se contredit lorsqu'elle affirme qu'il n'existe aucun antécédent familial psychiatrique, tout en évoquant les problèmes psychiques du père, de l'oncle paternel et du grand-père maternel. Enfin, contrairement à ce qui était indiqué par l'experte, le recourant vivrait reclus. ![endif]&gt;![if&gt;</w:t>
      </w:r>
    </w:p>
    <w:p>
      <w:r>
        <w:rPr>
          <w:b/>
        </w:rPr>
        <w:t>E. 14.3.2.2</w:t>
      </w:r>
    </w:p>
    <w:p>
      <w:r>
        <w:t>Or, ainsi qu'on l'a relevé plus haut, quels que soient les diagnostics posés par les psychiatres, c'est l'influence en soi de l'atteinte à la santé sur la capacité de travail qui est déterminante. Ainsi, même si le recourant souffrait d'un syndrome somatoforme de type fibromyalgie (rapport du Dr F______ du 29 mars 2021 ; rapport des HUG du 13 septembre 2021), il n'en demeure pas moins que ce syndrome n'est, en l'occurrence, pas invalidant au regard des critères jurisprudentiels (ATF 141 V 281 consid. 4) pour les motifs qui suivent. ![endif]&gt;![if&gt; En effet, s’agissant de la catégorie « degré de gravité fonctionnelle », l'experte rapportait que des facteurs psychosociaux étaient au premier plan ; le recourant abordait les difficultés de la vie, telles que la petite taille de l'appartement, la souffrance par rapport à la trisomie dont est atteinte sa fille aînée (née le 6 juin 2008) ou l'impossibilité d'avoir offert une vie décente à son épouse, sans aborder avec précision ses troubles douloureux (rapport d'expertise p. 46 et 49). Elle excluait une atteinte dépressive (p. 45), et constatait l'absence de troubles des fonctions cognitives (p. 43) ; en particulier, le recourant, qui s'exprimait également en français (p. 43), présentait une bonne cohérence idéo-affective et soulevait les petites erreurs de l'interprète. Il était alerte et concentré en entretien (p. 49). Elle ne retenait aucune limitation d'un point de vue psychiatrique (relevant que celui-ci possédait la capacité de donner et de recevoir un soutien affectif, notamment à ses trois enfants et à son épouse, la capacité d'évoluer au sein d'un groupe, le bon sens du contact avec autrui, la capacité à s'affirmer et à défendre ses convictions, les capacités d'endurance, de jugement et de prise de décision, l'usage de compétences spécifiques et des connaissances dans la vie de tous les jours, la capacité de flexibilité et d'adaptation, et la capacité de structurer et de planifier des tâches ; p. 51). S’agissant du « succès du traitement et de la réadaptation », s'il est vrai que le recourant, qui consulte son psychiatre traitant, a présenté, en raison de ses douleurs, une quête médicale et suivi différents traitements (dont l'infiltration épidurale, la physiothérapie, l'acupuncture, l'hypnose, ou la stimulation magnétique transcrânienne) sans amélioration significative des symptômes (rapport du Dr E______ du 16 mars 2021), il ne ressort toutefois pas du dossier qu’il serait confronté à un échec de toute thérapie médicalement indiquée (le Dr E______, par exemple, préconise la poursuite du traitement médicamenteux). S’agissant des « comorbidités », comme on le verra plus loin, les troubles somatiques et psychosomatiques du recourant ne le privent pas de certaines ressources et n'empêchent pas la pratique d'une activité adaptée à plein temps (cf. arrêt du Tribunal fédéral 9C_756/2018 du 17 avril 2019 consid. 5.2.3). S’agissant du complexe de « la personnalité », ni les examinateurs dans leur rapport du 14 août 2017 (dossier AI p. 287), ni l'experte psychiatre dans son rapport du 11 janvier 2021 (p. 44) ne retiennent un trouble spécifique de la personnalité au sens d’une classification diagnostique reconnue, celle-ci relevant uniquement des traits de personnalité particuliers (p. 46). Or, des traits de personnalité signifient que les symptômes constatés ne sont pas suffisants pour retenir l’existence d’un trouble spécifique de la personnalité. Ils n'ont, en principe, pas valeur de maladie psychiatrique et ne peuvent, en principe, pas fonder une incapacité de travail en droit des assurances au sens des art. 4 al. 1 LAI et 8 LPGA (arrêt du Tribunal fédéral 9C_369/2019 du 17 mars 2020 consid. 5.3 et les références). Pour ce qui est du « contexte social », contrairement aux dires du recourant dans un deuxième temps il ne vit pas de manière isolée du monde. Lors de l'expertise, il avait déclaré avoir une vie de famille harmonieuse et entretenir de bonnes relations avec son voisinage, amical et soutenant (rapport d'expertise p. 46, 50). L'un de ses voisins, qu'il considérait comme un ami, l'avait du reste accompagné en voiture aux fins de l'expertise (p. 29 et 42). Il s'entend par ailleurs bien avec la famille de son épouse, qu'il visite régulièrement avec cette dernière (p. 42 et 46). Son contexte social et familial lui procure donc des ressources mobilisables. En ce qui concerne la catégorie « cohérence », les symptômes invoqués ne se manifestent pas de la même manière dans toutes les fonctions de la vie quotidienne. Le recourant est, en effet, autonome dans ses gestes de déshabillage, de l'habillage et des soins corporels. Son hygiène n'est pas altérée (rapport d'expertise p. 29 et 50). Pour les vacances, il part en Macédoine en car avec ses enfants et son épouse (p. 42 et 50), alors qu'il déclarait ne pas supporter la position assise prolongée (p. 25). À la lumière des résultats des tests sanguins réalisés lors de l'expertise (p. 44-45), il a été relevé une mauvaise compliance au traitement antidépresseur et antalgique (avis du SMR des 1 er juillet 2021 et 5 mai 2022). D'autres médecins indiquent par ailleurs que le recourant est réfractaire au traitement pharmacologique (rapport des HUG du 20 avril 2021). Dans ces conditions, il convient de constater que le recourant adopte un comportement incohérent.</w:t>
      </w:r>
    </w:p>
    <w:p>
      <w:r>
        <w:rPr>
          <w:b/>
        </w:rPr>
        <w:t>E. 14.3.2.3</w:t>
      </w:r>
    </w:p>
    <w:p>
      <w:r>
        <w:t>Les pièces produites postérieurement à l'expertise rhumato-psychiatrique du 8 décembre 2020 ne sont pas susceptibles de mettre en doute les conclusions de l'experte psychiatre. ![endif]&gt;![if&gt; Au préalable, il est malvenu de la part du recourant d'alléguer que l'anamnèse contenue dans le rapport d'expertise est diamétralement différente de celle résumée par le psychiatre traitant dans le rapport du 29 mars 2021, dès lors que les deux médecins (celui-ci et l'experte) ont retranscrit les déclarations subjectives du recourant et le comportement observé. Le fait que l'experte ait indiqué qu'il n'existait aucun antécédent familial psychiatrique (rapport d'expertise p. 45), bien que le recourant ait soulevé les problèmes psychiques de son père, de son oncle paternel (depuis l'enfance du recourant) et de son grand-père maternel (p. 39), ne saurait discréditer le rapport d'expertise du 11 janvier 2021, puisque, d'une part, lors de l'examen rhumato-psychiatrique du 31 juillet 2017, le recourant n'avait pas fait état de ces problèmes (rapport du 14 août 2017 p. 4), et d'autre part, indépendamment des éventuels troubles psychiques de certains membres de la famille du recourant, l'experte a pu constater que ce dernier ne présentait pas de limitations fonctionnelles psychiques, qui sont seules déterminantes. Ensuite, certes, le résultat détaillé (questions et réponses) du test d'évaluation de Hamilton (intensité des symptômes dépressifs) ne figure pas dans le rapport d'expertise (p. 45, 53-54). Cela étant, les conclusions de l'experte reposent tant sur les données subjectives fournies par le recourant (retranscrites aux p. 37 à 42) que sur ses observations objectives (p. 43-45). L'experte a du reste souligné que l'antidépresseur prescrit par le psychiatre traitant était peu utilisé dans le traitement des symptômes de la dépression sévère, ce qui était en contradiction avec la gravité du diagnostic posé par celui-ci (p. 49). Par ailleurs, le rapport du département de psychiatrie des HUG du 20 avril 2021, qui retient notamment un épisode dépressif sévère, ne permet pas de s'écarter des conclusions de l'experte psychiatre, dès lors que, dans la rubrique « status psychiatrique », il est fait mention essentiellement des données subjectives du recourant, et que les examens complémentaires avaient consisté seulement en des tests d'auto-évaluation (voir avis du SMR du 1 er juillet 2021). D'autant moins que, dans son rapport du 29 mars 2021, le psychiatre traitant, lui-même, relève que l'état clinique de son patient est stationnaire depuis le 1 er mai 2015 pour rappel : en juillet 2017, l'examinateur psychiatre n'a pas retenu un trouble psychique incapacitant et qu'il s'aggrave systématiquement à l'annonce du refus d'une rente d'invalidité (la première fois au moment de l'arrêt ATAS/464/2019 du 27 mai 2019 par lequel la chambre de céans avait confirmé la décision de l'intimé du 5 décembre 2017, puis à la suite de l'expertise psychiatrique du 11 janvier 2021 et du projet de décision du 15 février 2021 ; le psychiatre traitant ajoute d'ailleurs que son patient est « très fâché contre la décision de l'AI et qu'il est motivé à faire accepter sa demande »). Or, selon la jurisprudence, il n'y a pas d'atteinte psychique invalidante en cas de troubles psychiques réactionnels à une décision négative de l'assurance-invalidité, lesquels peuvent être médicalement traités de manière adéquate. Dans le cas contraire, la notion juridique d'invalidité serait vidée de son sens (arrêt du Tribunal fédéral 9C_799/2012 du 16 mai 2013 consid. 2.5). Enfin, le rapport du département de psychiatrie des HUG du 13 septembre 2021 n'est pas non plus pertinent (dans le cadre de la présente procédure). D'une part, le diagnostic de dépression sévère marquée par une symptomatologie neurovégétative importante est nouveau et il a été retenu après la décision litigieuse du 7 mai 2021 (la première consultation a eu lieu le 23 juin 2021). Aussi n'est-il pas de nature à influencer l'appréciation au moment où cette décision a été rendue (ATF 121 V 366 consid. 1b et les références). Qui plus est, le SMR conteste la sévérité de l'atteinte dépressive, en l'absence de troubles de la concentration ou de ralentissement psychomoteur objectivés à cette consultation ou encore d'idées suicidaires (avis du 5 mai 2022). D'autre part, quand bien même le diagnostic de trouble de personnalité mixte sévère avec traits borderline, dépendant et paranoïaque a été posé dans ce rapport, cela ne modifie pas l'appréciation du cas, puisque les HUG ont indiqué que ce trouble est présent depuis le début de l'âge adulte. Or, depuis lors, ce trouble éventuel (qui n'a pas été retenu par l'examinateur psychiatre en 2017, ni par l'experte psychiatre en 2020) n'a pas empêché le recourant d'exercer une activité lucrative (en Macédoine, il a vendu des légumes au marché et a été chauffeur de taxi, puis en Suisse, il a travaillé dans le domaine du bâtiment et dans celui du nettoyage [rapport d'expertise du 11 janvier 2021 p. 24 et 40]).</w:t>
      </w:r>
    </w:p>
    <w:p>
      <w:r>
        <w:rPr>
          <w:b/>
        </w:rPr>
        <w:t>E. 14.3.2.4</w:t>
      </w:r>
    </w:p>
    <w:p>
      <w:r>
        <w:t>Au vu de ce qui précède, et en particulier de l'analyse des indicateurs jurisprudentiels, on doit admettre, avec l'experte psychiatre, que le recourant dispose d'une capacité de travail entière dans toute activité (en tous cas jusqu'au prononcé de la décision querellée, date déterminante pour l'examen de la légalité de cette décision). ![endif]&gt;![if&gt;</w:t>
      </w:r>
    </w:p>
    <w:p>
      <w:r>
        <w:rPr>
          <w:b/>
        </w:rPr>
        <w:t>E. 14.3.2.5</w:t>
      </w:r>
    </w:p>
    <w:p>
      <w:r>
        <w:t>En conséquence, l'audition du psychiatre traitant et la mise sur pied d’une nouvelle expertise médicale, sollicitées par le recourant, sont, par appréciation anticipée des preuves (ATF 122 II 464 consid. 4a), inutiles, de sorte que la chambre de céans n’y donnera pas suite.![endif]&gt;![if&gt;</w:t>
      </w:r>
    </w:p>
    <w:p>
      <w:r>
        <w:rPr>
          <w:b/>
        </w:rPr>
        <w:t>E. 14.4</w:t>
      </w:r>
    </w:p>
    <w:p>
      <w:r>
        <w:t>En définitive, la chambre de céans retiendra que le recourant, malgré l'aggravation de son état de santé somatique, est pleinement apte à exercer une activité adaptée à ses limitations fonctionnelles, ceci dès le 7 juillet 2018. ![endif]&gt;![if&gt;</w:t>
      </w:r>
    </w:p>
    <w:p>
      <w:r>
        <w:rPr>
          <w:b/>
        </w:rPr>
        <w:t>E. 15</w:t>
      </w:r>
    </w:p>
    <w:p>
      <w:r>
        <w:t>Reste à se prononcer sur le degré d'invalidité du recourant. ![endif]&gt;![if&gt;</w:t>
      </w:r>
    </w:p>
    <w:p>
      <w:r>
        <w:rPr>
          <w:b/>
        </w:rPr>
        <w:t>E. 15.1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15.2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l’Enquête suisse sur la structure des salaires (ci-après : ESS) éditée par l'Office fédéral de la statistique (ci-après : OFS ; arrêts du Tribunal fédéral des assurances I.201/06 du 14 juillet 2006 consid. 5.2.3 et I.774/01 du 4 septembre 2002 consid. 3b). ![endif]&gt;![if&gt;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w:t>
      </w:r>
    </w:p>
    <w:p>
      <w:r>
        <w:rPr>
          <w:b/>
        </w:rPr>
        <w:t>E. 15.3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![endif]&gt;![if&gt;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147 V 178 consid. 1.3 ; ATF 135 V 297 consid. 5.2 ; ATF 126 V 75 consid. 5b/aa-cc). L'étendue de l'abattement justifié dans un cas concret relève du pouvoir d'appréciation (ATF 132 V 393 consid. 3.3). Depuis la 10 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16</w:t>
      </w:r>
    </w:p>
    <w:p>
      <w:r>
        <w:t>En l'occurrence, le délai d'attente d'une année pour l'ouverture du droit à la rente a commencé à courir le 7 juillet 2018 (consid. 14.3.1.2 et 14.4 ci-dessus), et est donc arrivé à échéance en juillet 2019 (art. 28 al. 1 let. b LAI). Il convient donc de se placer en 2019 pour procéder à la comparaison des revenus. ![endif]&gt;![if&gt;</w:t>
      </w:r>
    </w:p>
    <w:p>
      <w:r>
        <w:rPr>
          <w:b/>
        </w:rPr>
        <w:t>E. 16.1</w:t>
      </w:r>
    </w:p>
    <w:p>
      <w:r>
        <w:t>Pour déterminer le revenu sans invalidité, l'intimé s'est référé aux données statistiques, au motif que l'assuré n'a plus travaillé depuis 2014. Or, pour fixer le revenu de valide, il convient, en règle générale, de se référer au dernier salaire que l'assuré a obtenu avant l'atteinte à la santé, à moins que des circonstances particulières ne justifient que l'on se fonde sur le salaire statistique de l'ESS (consid. 15.2 ci-dessus). ![endif]&gt;![if&gt; Dans le cas présent, il ressort du dossier que le recourant était en arrêt de travail depuis le 6 mars 2014 et que son employeur l'a licencié avec effet au 1 er février 2015 à une époque où celui-là présentait encore une incapacité de travail (courrier et attestation de l'employeur des 16 février et 2 avril 2015 ; dossier AI p. 211-212). Dès lors que la résiliation du contrat de travail est liée aux problèmes médicaux, il y a lieu d'admettre que le recourant, sans atteinte à la santé, aurait vraisemblablement poursuivi son activité auprès du même employeur et aurait pu prétendre au salaire qu'il y aurait réalisé. Dans ces circonstances, est déterminant pour la fixation du revenu hypothétique de la personne valide le salaire que la personne assurée réaliserait actuellement auprès de son ancien employeur (arrêt du Tribunal fédéral 9C_725/2015 du 5 avril 2016 consid. 4.1 et les références). Comme le dernier salaire (soumis à cotisations) que le recourant a obtenu avant l'atteinte à la santé s'élevait à CHF 5'452.25 par mois, versé douze fois l'an (déclaration de sinistre du 25 mars 2014 ; décompte de salaire du 31 décembre 2014 ; dossier AI p. 197 et 209), soit CHF 65'427.- par année (5'452.25 × 12), le salaire sans invalidité, réactualisé à 2019 selon l’indice suisse des salaires nominaux pour les hommes publié par l'OFS (ci-après : ISS ; en 2014 : 2220 et en 2019 : 2279), se monte à CHF 67'165.80 (65'427 × 2279 / 2220).</w:t>
      </w:r>
    </w:p>
    <w:p>
      <w:r>
        <w:rPr>
          <w:b/>
        </w:rPr>
        <w:t>E. 16.2</w:t>
      </w:r>
    </w:p>
    <w:p>
      <w:r>
        <w:t>S'agissant du revenu avec invalidité en 2019, dès lors que le recourant n'a pas repris d'activité professionnelle, le revenu d'invalide peut être évalué sur la base des statistiques salariales figurant dans l'ESS 2018 soit celle qui était publiée le 21 avril 2020 au moment déterminant de la décision attaquée du 7 mai 2021 (arrêt du Tribunal fédéral 8C_655/2016 du 4 août 2017 consid. 6.3).![endif]&gt;![if&gt;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D’après l’ESS 2018, ce revenu s’élève à CHF 5’417.- par mois (tableau TA1_tirage_skill_level, niveau 1, total, homme, part au 13 ème salaire comprise) ou à CHF 65'004.- par année (5’417 × 12). Ce salaire hypothétique se base toutefois sur une durée hebdomadaire de travail de quarante heures, inférieure à la moyenne usuelle dans les entreprises. Il convient dès lors de l’ajuster à la durée hebdomadaire normale de travail en 2019, laquelle est de 41,7 heures (tableau « Durée normale du travail dans les entreprises selon la division économique » de l'OFS), ce qui porte le salaire annuel à CHF 67'766.67 pour un plein temps (65'004 × 41,7 / 40). Réactualisé à l’année 2019 selon l’indice suisse des salaires nominaux pour les hommes (ISS ; en 2018 : 2260 et en 2019 : 2279), le revenu avec invalidité s'élève à CHF 68'336.38 (67'766.67 × 2279 / 2260). L'intimé a appliqué un abattement de 5 % sur le revenu d'invalide pour tenir compte des limitations fonctionnelles du recourant (dossier AI p. 784-785). Même en opérant une réduction maximale de 25 % sur ce salaire (consid. 15.3 ci-dessus), le revenu d'invalide, qui s'élèverait alors à CHF 51'252.29 (68'336.38 - 17'084.09 [68'336.38 × 25 / 100 = 17'084.09]), comparé avec le revenu sans invalidité de CHF 67'165.80, donnerait un degré d'invalidité de 23,69 % ([67'165.80 - 51'252.29] / 67'165.80 × 100), arrondi à 24 % (ATF 130 V 121 consid. 3.2), ce qui est inférieur au taux de 40 % (art. 28 al. 2 LAI). Le recourant ne peut donc pas prétendre à une rente d'invalidité.</w:t>
      </w:r>
    </w:p>
    <w:p>
      <w:r>
        <w:rPr>
          <w:b/>
        </w:rPr>
        <w:t>E. 16.3</w:t>
      </w:r>
    </w:p>
    <w:p>
      <w:r>
        <w:t>À toutes fins utiles, même dans l'hypothèse où le revenu sans invalidité était fixé, comme l'a fait l'intimé, selon les données statistiques, cela ne changerait rien à la solution du litige. ![endif]&gt;![if&gt; En effet, dans ce cas, le salaire de référence auquel peut prétendre le recourant dans le secteur du nettoyage des tapis (ligne 96 « Autres services personnels » de l'ESS 2018, niveau 1 ; Nomenclature générale des activités économiques [NOGA 2008] publiée par l’OFS, notes explicatives, disponible à l'adresse suivante: https://www.bfs.admin.ch/bfs/fr/home/statistiques/industrie-services/nomenclatures/noga.assetdetail.344103.html, p. 243) se chiffre à CHF 4'291.- par mois ou à CHF 51'492 annuellement (4'291 × 12), lequel doit ensuite être ajusté à la durée hebdomadaire moyenne usuelle dans la branche concernée (41,8 heures d'après le tableau « Durée normale du travail dans les entreprises selon la division économique » de l'OFS). Il en résulte un revenu sans invalidité de CHF 53'809.14 (51'492 × 41,8 / 40). Après adaptation de ce montant à l'évolution des salaires nominaux pour les hommes en 2019 (ISS ; en 2018 : 2260 et en 2019 : 2279), le revenu de valide ascende à CHF 54'261.51 (53'809.14 × 2279 / 2260), lequel, comparé avec le revenu d'invalide de CHF 51'252.29, aboutit à un degré d'invalidité de 5,54 % ([54'261.51 - 51'252.29] / 54'261.51 × 100), arrondi à 6 % (ATF 130 V 121 consid. 3.2), taux inférieur au seuil de 40 % (art. 28 al. 2 LAI), ne conférant ainsi aucun droit à une rente.</w:t>
      </w:r>
    </w:p>
    <w:p>
      <w:r>
        <w:rPr>
          <w:b/>
        </w:rPr>
        <w:t>E. 17</w:t>
      </w:r>
    </w:p>
    <w:p>
      <w:r>
        <w:t>En conséquence, le recours sera rejeté. ![endif]&gt;![if&gt; Le recourant, qui succombe, n'a pas droit à des dépens (art. 61 let. g LPGA a contrario). Au vu du sort du recours, il y a lieu de condamner le recourant au paiement d'un émolument, arrêté en l'espèce à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