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A/1923/2023 vom 26. März 2024</w:t>
      </w:r>
    </w:p>
    <w:p>
      <w:r>
        <w:t>GE Cour de justice, 2024-03-26, FR</w:t>
      </w:r>
    </w:p>
    <w:p>
      <w:r>
        <w:rPr>
          <w:b/>
        </w:rPr>
        <w:t xml:space="preserve">Quelle: </w:t>
      </w:r>
      <w:r>
        <w:t>https://mcp.opencaselaw.ch/entscheid/ge_gerichte_A_1923_2023</w:t>
      </w:r>
    </w:p>
    <w:p>
      <w:r>
        <w:t>FR: GE_GERICHTE A/1923/2023 du 26 mars 2024</w:t>
      </w:r>
    </w:p>
    <w:p>
      <w:r>
        <w:t>IT: GE_GERICHTE A/1923/2023 del 26 marzo 2024</w:t>
      </w:r>
    </w:p>
    <w:p>
      <w:pPr>
        <w:pStyle w:val="Heading2"/>
      </w:pPr>
      <w:r>
        <w:t>Erwägungen</w:t>
      </w:r>
    </w:p>
    <w:p>
      <w:r>
        <w:rPr>
          <w:b/>
        </w:rPr>
        <w:t>E. 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l'AVS « réglée dans la première partie », à moins que la loi n'y déroge expressément.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30 jours – prévus par la loi, le recours est recevable (art. 56 ss LPGA ainsi que 62 ss de la loi sur la procédure administrative du 12 septembre 1985 [LPA - E 5 10]).</w:t>
      </w:r>
    </w:p>
    <w:p>
      <w:r>
        <w:rPr>
          <w:b/>
        </w:rPr>
        <w:t>E. 4</w:t>
      </w:r>
    </w:p>
    <w:p>
      <w:r>
        <w:t>L'objet du litige porte sur la question de savoir si le recourant a droit à une API de degré grave plutôt que moyen et depuis quand le droit à cette prestation est ouvert.</w:t>
      </w:r>
    </w:p>
    <w:p>
      <w:r>
        <w:rPr>
          <w:b/>
        </w:rPr>
        <w:t>E. 5</w:t>
      </w:r>
    </w:p>
    <w:p>
      <w:r>
        <w:t>Le 1 er janvier 2022, les modifications du 19 juin 2020 de la loi fédérale sur l'assurance-invalidité du 19 juin 1959 (LAI - 831.20)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certes été rendue après le 1 er janvier 2022. Toutefois, dès lors que l'objet du litige porte sur l'octroi d'une API dont le droit éventuel serait né avant cette date, la législation de l’AI en vigueur jusqu'au 31 décembre 2021 reste par conséquent applicable (cf. arrêt du Tribunal fédéral 8C_31/2023 du 25 mai 2023 consid. 3.2). Il en va a fortiori de même pour la disposition topique de la LAVS applicable, soit l’art. 43bis LAVS, étant donné que la modification du 17 décembre 2021 (AVS 21), entrée en vigueur le 1 er janvier 2024 (RO 2023 92 ; FF 2019 5979), n’a pas prévu de dispositions transitoires au sujet de l’API. Les articles applicables en matière d’AI et d’AVS, seront donc cités ci-après dans leur teneur en vigueur jusqu’au 31 décembre 2021, respectivement 31 décembre 2023.</w:t>
      </w:r>
    </w:p>
    <w:p>
      <w:r>
        <w:rPr>
          <w:b/>
        </w:rPr>
        <w:t>E. 6.1</w:t>
      </w:r>
    </w:p>
    <w:p>
      <w:r>
        <w:t>Selon l'art. 43bis LAVS, ont droit à l’API les bénéficiaires de rentes de vieillesse – comme en l’occurrence le recourant – ou de prestations complémentaires qui ont leur domicile et leur résidence habituelle (art. 13 LPGA) en Suisse et qui présentent une impotence (art. 9 LPGA) grave, moyenne ou faible. La rente de vieillesse anticipée est assimilée à la perception d’une rente de vieillesse (al. 1). Le droit à une API faible est supprimé lors d’un séjour dans un home (al. 1bis). L’allocation mensuelle pour impotence grave s’élève à 80 %, celle pour impotence moyenne à 50 % et celle pour impotence faible à 20 % du montant minimal de la rente de vieillesse prévu à l’art. 34 al. 5 LAVS (al. 3). La LAI s’applique par analogie à l’évaluation de l’impotence. Il incombe aux offices de l’AI de fixer le taux d’impotence à l’intention des caisses de compensation. Le Conseil fédéral peut édicter des prescriptions complémentaires (al. 5). En vertu de l’art. 66bis al. 1 du règlement sur l'assurance-vieillesse et survivants du 31 octobre 1947 (RAVS - RS 831.101), l’art. 37 al. 1, 2 let. a et b et 3 let. a à d RAI est applicable par analogie à l’évaluation de l’impotence.</w:t>
      </w:r>
    </w:p>
    <w:p>
      <w:r>
        <w:rPr>
          <w:b/>
        </w:rPr>
        <w:t>E. 6.2</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6.3</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6.3.1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6.3.2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6.3.3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6.4.1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6.4.2</w:t>
      </w:r>
    </w:p>
    <w:p>
      <w:r>
        <w:t>De manière générale, ne saurait être réputé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6.4.3</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8058, ch. 8026).</w:t>
      </w:r>
    </w:p>
    <w:p>
      <w:r>
        <w:rPr>
          <w:b/>
        </w:rPr>
        <w:t>E. 6.5</w:t>
      </w:r>
    </w:p>
    <w:p>
      <w:r>
        <w:t>En vertu de l’art. 42 al. 3, 1 ère phr., LAI, est aussi considérée comme impotente la personne vivant chez elle qui, en raison d’une atteinte à sa santé, a durablement besoin d’un accompagnement lui permettant de faire face aux nécessités de la vie.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6.6</w:t>
      </w:r>
    </w:p>
    <w:p>
      <w:r>
        <w:t>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w:t>
      </w:r>
    </w:p>
    <w:p>
      <w:r>
        <w:rPr>
          <w:b/>
        </w:rPr>
        <w:t>E. 6.7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7.1</w:t>
      </w:r>
    </w:p>
    <w:p>
      <w:r>
        <w:t>En l’espèce, l’intimée, par l’intermédiaire de l’OAI, a retenu le besoin d’une aide régulière et importante d’autrui pour les quatre actes ordinaires de la vie suivants : « se vêtir/se dévêtir » et « se lever/s’asseoir/se coucher/changer de position » depuis janvier 2018, « faire sa toilette » à compter de janvier 2019 et « aller aux toilettes » dès septembre 2021. Il s’agit de la plupart des actes ordinaires de la vie au sens de l’art. 37 al. 2 let. a RAI, puisqu’ils sont quatre sur six en tout, ce qui a justifié l’octroi d’une API de degré moyen (à tout le moins dès le 1 er décembre 2021).</w:t>
      </w:r>
    </w:p>
    <w:p>
      <w:r>
        <w:rPr>
          <w:b/>
        </w:rPr>
        <w:t>E. 7.2</w:t>
      </w:r>
    </w:p>
    <w:p>
      <w:r>
        <w:t>Le recourant considère quant à lui que les deux actes ordinaires de la vie restants que sont « manger » et « se déplacer et entretenir des contacts sociaux avec autrui » devraient être ajoutés aux quatre admis par la caisse de compensation, de sorte que tous les actes ordinaires de la vie seraient concernés par son besoin d’une aide régulière et importante d’autrui, condition requise par l’art. 37 al. 1 RAI pour la reconnaissance du droit à une API de degré grave. Or, pour que l’impotence soit considérée comme grave, il faudrait, conformément à l’art. 37 al. 1 RAI, que l’assuré ait non seulement besoin d'une aide régulière et importante d'autrui pour tous les actes ordinaires de la vie, c’est-à-dire les six actes précisés par la jurisprudence, mais aussi, cumulativement, que son état nécessite des soins permanents ou une surveillance personnelle (cf. jurisprudence citée plus haut).</w:t>
      </w:r>
    </w:p>
    <w:p>
      <w:r>
        <w:rPr>
          <w:b/>
        </w:rPr>
        <w:t>E. 7.2.1</w:t>
      </w:r>
    </w:p>
    <w:p>
      <w:r>
        <w:t>Tout d’abord, dans son rapport d’évaluation du 20 février 2023, l’infirmière évaluatrice considère que l’intéressé n’a pas un besoin d’aide pour les soins permanents ; elle note à ce sujet : « L’assuré doit suivre un traitement pour son insuffisance cardiaque et l’hypertension, il doit aussi prendre un traitement de Madopar toutes les deux heures pour ne pas être bloqué dans ses mouvements. Sa femme doit lui donner son premier comprimé le matin puis il est en mesure de prendre son traitement sans aide ». Toujours selon l’infirmière évaluatrice, le recourant n’a pas besoin d’une surveillance personnelle, précisant en outre ce qui suit : « L’assuré n’est jamais seul à son domicile car son épouse vit avec lui, il peut appeler à l’aide en cas de besoin car il a toute sa tête. Dans cette situation la surveillance personnelle permanente ne se justifie pas ». Néanmoins, l’intimée semble admettre un besoin de soins permanents (nécessité d’une aide pour la prise de médicaments) dans sa décision – initiale – du 21 juin 2022 et dans sa décision sur opposition querellée, ce qui paraît justifié par la nécessité que l’épouse du recourant doit chaque matin lui donner son premier comprimé de Madopar.</w:t>
      </w:r>
    </w:p>
    <w:p>
      <w:r>
        <w:rPr>
          <w:b/>
        </w:rPr>
        <w:t>E. 7.2.2</w:t>
      </w:r>
    </w:p>
    <w:p>
      <w:r>
        <w:t>Reste la question de savoir si l’assuré a le besoin d'une aide régulière et importante d'autrui pour tous les actes ordinaires de la vie, c’est-à-dire les six actes précisés par la jurisprudence. Or le recourant n’indique pas précisément en quoi seraient erronées les constatations et considérations de l’infirmière évaluatrice l’ayant conduite à ne pas retenir le besoin d'une aide régulière et importante d'autrui pour « manger ». Concernant cet acte ordinaire de la vie, il est noté, sous point 4.1.3 du rapport d’évaluation : « D’après les dires de son épouse et de son fils qui mange tous les jours avec ses parents, pour le repas de midi, l’assuré n’est pas en mesure de couper la nourriture dure, il faut intervenir sur son assiette lorsqu’il y a de la viande. Lorsque la nourriture est adaptée l’assuré est en mesure de prendre ses deux couverts et manger sans aide. Dans ses proportions lorsque l’intervention est nécessaire uniquement pour couper la nourriture dure, cet acte n’est pas retenu car il est possible d’adapter les aliments. Le matin son épouse lui sert son petit‑déjeuner au lit afin qu’il ne soit pas obligé d’attendre 10h. Les interventions de son épouse ou de son fils par bienveillance ne sont pas retenues car elles ne sont pas indispensables. Le fait de devoir reporter l’heure du déjeuner n’est pas suffisant pour retenir cet acte car ce n’est pas le fait de manger qui est touché mais de pouvoir se mettre à table, ce qui est retenu sous se lever/s’asseoir/se coucher ». Rien ne permet de mettre en doute ces constatations et considérations de l’infirmière évaluatrice concernant l’acte ordinaire « manger ». Il s’ensuit qu’en tout état de cause, pas tous les actes ordinaires de la vie ne sont concernés par un besoin d'une aide régulière et importante d'autrui, ce qui exclut une impotence grave. Il n’est donc pas nécessaire de se prononcer sur la question d’un besoin ou non d'une aide régulière et importante d'autrui pour l’acte ordinaire de la vie qui consiste en se déplacer à l'intérieur ou à l'extérieur et établir des contacts sociaux.</w:t>
      </w:r>
    </w:p>
    <w:p>
      <w:r>
        <w:rPr>
          <w:b/>
        </w:rPr>
        <w:t>E. 7.3</w:t>
      </w:r>
    </w:p>
    <w:p>
      <w:r>
        <w:t>C'est en conséquence conformément au droit que l'intimée n'a pas retenu une impotence grave, mais plutôt une impotence moyenne. Ni des questions qui seraient posées à d'autres médecins que le médecin généraliste traitant, par exemple le neurologue traitant, ni une nouvelle visite à domicile de l'infirmière évaluatrice avec la présence de l'intéressé suivie d'un nouveau rapport d'évaluation ne pourraient, par appréciation anticipée des preuves (cf. à ce sujet notamment ATF 124 V 90 consid. 4b ; ATF 122 V 157 consid. 1d), avoir une quelconque influence sur l'issue du présent litige.</w:t>
      </w:r>
    </w:p>
    <w:p>
      <w:r>
        <w:rPr>
          <w:b/>
        </w:rPr>
        <w:t>E. 8</w:t>
      </w:r>
    </w:p>
    <w:p>
      <w:r>
        <w:t>Par ailleurs, le recourant fait grief à l'intimée d'avoir considéré sa demande comme tardive et de lui avoir octroyé une API seulement à partir du 1 er février 2021. Selon lui en effet, depuis le début de son impotence en janvier 2021, il n'avait « malheureusement pas eu l'occasion d'être informé de [son] droit à [l'API], ou bien les faits ayant établi [son] droit à cette allocation ». C'est d'après lui le 22 novembre 2021 que les HUG ont informé son fils ainsi que son médecin traitant de l'existence de ce droit, qu'il a exercé le 17 février 2022 (soit moins de douze mois après en avoir eu connaissance).</w:t>
      </w:r>
    </w:p>
    <w:p>
      <w:r>
        <w:rPr>
          <w:b/>
        </w:rPr>
        <w:t>E. 8.1</w:t>
      </w:r>
    </w:p>
    <w:p>
      <w:r>
        <w:t>S’agissant de la question du devoir d’information, il sied de considérer ce qui suit.</w:t>
      </w:r>
    </w:p>
    <w:p>
      <w:r>
        <w:rPr>
          <w:b/>
        </w:rPr>
        <w:t>E. 8.1.1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et les références). De manière générale, on doit également exiger de l'assuré un minimum d'attention, de réflexion et de bon sens (arrêt du Tribunal fédéral 9C_1005/2008 du 5 mars 2009 consid. 3.2.2 ;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 ATF 131 V 472 consid. 5 ;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précité consid. 4.1).</w:t>
      </w:r>
    </w:p>
    <w:p>
      <w:r>
        <w:rPr>
          <w:b/>
        </w:rPr>
        <w:t>E. 8.1.2</w:t>
      </w:r>
    </w:p>
    <w:p>
      <w:r>
        <w:t>En l'occurrence, il ne ressort ni des allégations de l'assuré ni de quelconques éléments du dossier qu'une institution d'assurances sociales aurait éventuellement pu, en prêtant l'attention usuelle, reconnaître avant février 2022 que l'intéressé se trouvait dans une situation dans laquelle il risquait de perdre son droit à une API pendant une certaine période s'il ne déposait pas immédiatement ou rapidement une demande dans ce sens (cf. jurisprudence citée plus haut). Par ailleurs, un hôpital, ici les HUG, n'apparaît pas être un organe d'exécution de l'AVS ou de l'AI (cf. art. 27 al. 1 LPGA). Ceci exclut un devoir d'information d'un assureur social au sens de l'art. 27 LPGA au sujet de l’API et, a fortiori , une violation d'un tel devoir.</w:t>
      </w:r>
    </w:p>
    <w:p>
      <w:r>
        <w:rPr>
          <w:b/>
        </w:rPr>
        <w:t>E. 8.2</w:t>
      </w:r>
    </w:p>
    <w:p>
      <w:r>
        <w:t>Pour ce qui est du dies a quo du droit à une API, il convient de relever ce qui suit.</w:t>
      </w:r>
    </w:p>
    <w:p>
      <w:r>
        <w:rPr>
          <w:b/>
        </w:rPr>
        <w:t>E. 8.2.1</w:t>
      </w:r>
    </w:p>
    <w:p>
      <w:r>
        <w:t>Aux termes de l'art. 43bis al. 2 LAVS – dans sa version en vigueur jusqu’au 31 décembre 2023 –, le droit à l'API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Selon l'art. 35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 Conformément à l'art. 88a al. 2 RAI – intitulé « modification du droit »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En vertu de l'art. 88bis al. 1 RAI, l'augmentation de la rente, de l'allocation pour impotent ou de la contribution d'assistance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À teneur de l'art. 46 LAVS, le droit aux rentes et API non touchées est réglé à l'art. 24 al. 1 LPGA (al. 1 ; étant précisé que selon l'art. 24 al. 1 LPGA, le droit à des prestations ou à des cotisations arriérées s'éteint cinq ans après la fin du mois pour lequel la prestation était due et cinq ans après la fin de l'année civile pour laquelle la cotisation devait être payée). Si l'assuré fait valoir son droit à une API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(al. 2). Concernant l'art. 46 al. 2, 2 ème phr., LAVS, qu'un état de fait objectivement donné ouvrant droit à prestations n'ait pas été reconnaissable ou que la personne assurée ait été empêchée pour cause de maladie malgré une connaissance adéquate de déposer une demande ou de charger quelqu'un du dépôt de la demande, n'est admis que de manière très restrictive par la jurisprudence, par exemple en cas de schizophrénie ou d'autres troubles psychiques graves (ATF 139 V 289 consid. 4).</w:t>
      </w:r>
    </w:p>
    <w:p>
      <w:r>
        <w:rPr>
          <w:b/>
        </w:rPr>
        <w:t>E. 8.2.2</w:t>
      </w:r>
    </w:p>
    <w:p>
      <w:r>
        <w:t>En l'espèce, rien ne permet de supposer que le recourant, qui dispose de l'entier de ses facultés mentales, n'aurait pas été en mesure à un quelconque moment de connaître ses propres problèmes de santé et les autres circonstances qui pouvaient le cas échéant lui donner droit à une API (cf. art. 46 al. 2, 2 ème phr., LAVS). Comme l'a à juste titre admis la caisse de compensation, l'intéressé ne pouvait recevoir rétroactivement son API qu'au plus tôt douze mois avant le dépôt de sa demande (cf. art. 46 al. 2, 1 ère phr., LAVS), donc pas avant le 1 er février 2021. C'est donc conformément au droit que l'intimée a reconnu à l'assuré le droit à une API dans son principe (indépendamment du degré d’impotence) dès le 1 er février 2021. Ce point n'est pas remis en question dans la décision sur opposition.</w:t>
      </w:r>
    </w:p>
    <w:p>
      <w:r>
        <w:rPr>
          <w:b/>
        </w:rPr>
        <w:t>E. 8.3</w:t>
      </w:r>
    </w:p>
    <w:p>
      <w:r>
        <w:t>Se pose encore la question de savoir si, comme le retient la caisse de compensation, le recourant a droit à une API de degré faible dès le 1 er février 2021 puis de degré moyen à partir du 1 er décembre 2021, trois mois après l'apparition en septembre 2021 du besoin d'aide pour « aller aux toilettes », ou si, comme l'intéressé le soutient à tout le moins implicitement, il aurait droit à une API de degré moyen à compter du 1 er février 2021 au motif que le besoin d'aide pour « aller aux toilettes » serait apparu en janvier 2019 comme celui pour « faire sa toilette ».</w:t>
      </w:r>
    </w:p>
    <w:p>
      <w:r>
        <w:rPr>
          <w:b/>
        </w:rPr>
        <w:t>E. 8.3.1</w:t>
      </w:r>
    </w:p>
    <w:p>
      <w:r>
        <w:t>Concernant le besoin d'une aide régulière et importante d'autrui pour « aller aux toilettes » depuis septembre 2021 retenu par l'infirmière évaluatrice, celle-ci explique dans son rapport d'évaluation (sous point 4.1.5) : « L'assuré est porteur d'une sonde urinaire à demeure depuis septembre 2021 en raison d'une vessie hyperactive et des fuites urinaires constantes. Il doit vider sa poche urinaire plusieurs fois par jour, le matin, c'est sa femme qui doit le faire car l'assuré n'est pas suffisamment mobile pour le faire seul. Il peut aussi arriver occasionnellement que l'assuré demande de l'aide à son épouse pour s'essuyer. Cet acte est retenu en raison de la sonde urinaire à demeure qui n'est pas une manière habituelle de faire ses besoins et du fait que l'assuré nécessite de l'aide pour vider sa poche le matin ».</w:t>
      </w:r>
    </w:p>
    <w:p>
      <w:r>
        <w:rPr>
          <w:b/>
        </w:rPr>
        <w:t>E. 8.3.2</w:t>
      </w:r>
    </w:p>
    <w:p>
      <w:r>
        <w:t>Dans ses écritures, le recourant n'expose aucunement en quoi ces constatations et cette conclusion quant au début du besoin d'aide pour « aller aux toilettes » seraient erronées, et aucun élément ne permet de supposer qu'elles pourraient l'être. Du reste, dans sa demande d'API déposée le 17 février 2022, il a expressément répondu « non » à la question de savoir s'il avait besoin d'une aide régulière et importante d'autrui pour « aller aux toilettes ».</w:t>
      </w:r>
    </w:p>
    <w:p>
      <w:r>
        <w:rPr>
          <w:b/>
        </w:rPr>
        <w:t>E. 8.4</w:t>
      </w:r>
    </w:p>
    <w:p>
      <w:r>
        <w:t>C'est dès lors en conformité au droit que l'intimée a octroyé au recourant une API de degré faible depuis le 1 er février 2021 (avec moins de quatre actes ordinaires de la vie concernés par le besoin d'aide), puis de degré moyen à partir du 1 er décembre 2021, soit trois mois après l'apparition du nouveau besoin afférent à « aller aux toilettes » par application de l'art. 88a al. 2 RAI (auquel renvoie l'art. 35 al. 2 RAI).</w:t>
      </w:r>
    </w:p>
    <w:p>
      <w:r>
        <w:rPr>
          <w:b/>
        </w:rPr>
        <w:t>E. 9</w:t>
      </w:r>
    </w:p>
    <w:p>
      <w:r>
        <w:t>Vu ce qui précède, la décision sur opposition querellée est en tous points conforme au droit, de sorte que le recours doit être rejeté.</w:t>
      </w:r>
    </w:p>
    <w:p>
      <w:r>
        <w:rPr>
          <w:b/>
        </w:rPr>
        <w:t>E. 10</w:t>
      </w:r>
    </w:p>
    <w:p>
      <w:r>
        <w:t>La procédure de recours en matière de contestation portant sur l’octroi ou le refus de prestations de l’AI étant soumise à des frais de justice, un émolument de CHF 200.- sera mis à la charge du recourant (cf.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