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A/1915/2022 vom 14. September 2023</w:t>
      </w:r>
    </w:p>
    <w:p>
      <w:r>
        <w:t>GE Cour de justice, 2023-09-14, FR</w:t>
      </w:r>
    </w:p>
    <w:p>
      <w:r>
        <w:rPr>
          <w:b/>
        </w:rPr>
        <w:t xml:space="preserve">Quelle: </w:t>
      </w:r>
      <w:r>
        <w:t>https://mcp.opencaselaw.ch/entscheid/ge_gerichte_A_1915_2022</w:t>
      </w:r>
    </w:p>
    <w:p>
      <w:r>
        <w:t>FR: GE_GERICHTE A/1915/2022 du 14 septembre 2023</w:t>
      </w:r>
    </w:p>
    <w:p>
      <w:r>
        <w:t>IT: GE_GERICHTE A/1915/2022 del 14 settembre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(du 10 juin 2022) a été interjeté postérieurement au 1 er janvier 2021, il est soumis au nouveau droit (cf. art. 82 a LPGA a contrario ).![endif]&gt;![if&gt;</w:t>
      </w:r>
    </w:p>
    <w:p>
      <w:r>
        <w:rPr>
          <w:b/>
        </w:rPr>
        <w:t>E. 4</w:t>
      </w:r>
    </w:p>
    <w:p>
      <w:r>
        <w:t>Le 1 er janvier 2017 est entrée en vigueur la modification du 25 septembre 2015 de la LAA. Dans la mesure où la maladie professionnelle dont le recourant se plaint s'est déclarée après cette date (le traitement médical a eu lieu pour la première fois en 2019 et où l'incapacité de travail remonte au 5 octobre 2020 (cf. art. 9 al. 3 LAA ; dossier intimée pièces 1, 2, 9, 15), le droit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 er janvier 2017.![endif]&gt;![if&gt;</w:t>
      </w:r>
    </w:p>
    <w:p>
      <w:r>
        <w:rPr>
          <w:b/>
        </w:rPr>
        <w:t>E. 5</w:t>
      </w:r>
    </w:p>
    <w:p>
      <w:r>
        <w:t>Le délai de recours est de trente jours (art. 60 al. 1 LPGA ; art. 62 al. 1 let. a de la loi sur la procédure administrative du 12 septembre 1985 [LPA - E 5 10]). ![endif]&gt;![if&gt; Interjeté dans la forme (art. 61 let. b LPGA) et le délai prévus par la loi, le recours est recevable.</w:t>
      </w:r>
    </w:p>
    <w:p>
      <w:r>
        <w:rPr>
          <w:b/>
        </w:rPr>
        <w:t>E. 6</w:t>
      </w:r>
    </w:p>
    <w:p>
      <w:r>
        <w:t>Le litige porte sur le droit du recourant à des prestations de l'assurance-accidents, au titre de maladie professionnelle, pour les troubles pulmonaires dont il souffre.![endif]&gt;![if&gt;</w:t>
      </w:r>
    </w:p>
    <w:p>
      <w:r>
        <w:rPr>
          <w:b/>
        </w:rPr>
        <w:t>E. 7</w:t>
      </w:r>
    </w:p>
    <w:p>
      <w:r>
        <w:t>![endif]&gt;![if&gt;</w:t>
      </w:r>
    </w:p>
    <w:p>
      <w:r>
        <w:rPr>
          <w:b/>
        </w:rPr>
        <w:t>E. 7.1</w:t>
      </w:r>
    </w:p>
    <w:p>
      <w:r>
        <w:t>Selon l'art. 6 al. 1 LAA, les prestations d'assurance sont allouées en cas d'accident professionnel, d'accident non professionnel et de maladie professionnelle.![endif]&gt;![if&gt;</w:t>
      </w:r>
    </w:p>
    <w:p>
      <w:r>
        <w:rPr>
          <w:b/>
        </w:rPr>
        <w:t>E. 7.2</w:t>
      </w:r>
    </w:p>
    <w:p>
      <w:r>
        <w:t>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de l'ordonnance sur l'assurance-accidents du 20 décembre 1982 (OLAA - RS 832.202) -, le Conseil fédéral a dressé à l'annexe I de l'OLAA la liste des substances nocives, d'une part, et la liste de certaines affections, ainsi que des travaux qui les provoquent, d'autre part. Ces substances et travaux, ainsi que les affections dues à ceux-ci, sont énumérés de manière exhaustive. Selon la jurisprudence, l'exigence d'une relation prépondérante requise par l'art. 9 al. 1 LAA est réalisée lorsque la maladie est due pour plus de 50% à l'action d'une substance nocive mentionnée à l'annexe 1 de l'OLAA (arrêt du Tribunal fédéral 8C_626/2021 du 19 janvier 2022 consid. 3.2 et les références). ![endif]&gt;![if&gt;</w:t>
      </w:r>
    </w:p>
    <w:p>
      <w:r>
        <w:rPr>
          <w:b/>
        </w:rPr>
        <w:t>E. 7.3</w:t>
      </w:r>
    </w:p>
    <w:p>
      <w:r>
        <w:t>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(arrêt du Tribunal fédéral 8C_516/2020 du 3 février 2021 consid. 3.2.1 et les références). ![endif]&gt;![if&gt;</w:t>
      </w:r>
    </w:p>
    <w:p>
      <w:r>
        <w:rPr>
          <w:b/>
        </w:rPr>
        <w:t>E. 7.3.1</w:t>
      </w:r>
    </w:p>
    <w:p>
      <w:r>
        <w:t>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 8C_516/2020 précité consid. 3.2.2 et les références). ![endif]&gt;![if&gt;</w:t>
      </w:r>
    </w:p>
    <w:p>
      <w:r>
        <w:rPr>
          <w:b/>
        </w:rPr>
        <w:t>E. 7.3.2</w:t>
      </w:r>
    </w:p>
    <w:p>
      <w:r>
        <w:t>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 8C_516/2020 précité consid. 3.2.3 et les références). ![endif]&gt;![if&gt;</w:t>
      </w:r>
    </w:p>
    <w:p>
      <w:r>
        <w:rPr>
          <w:b/>
        </w:rPr>
        <w:t>E. 7.3.3</w:t>
      </w:r>
    </w:p>
    <w:p>
      <w:r>
        <w:t>Il découle de ce qui précède (cf. consid. 7.3.2 supra)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 8C_516/2020 précité consid. 3.2.4 et les références). ![endif]&gt;![if&gt;</w:t>
      </w:r>
    </w:p>
    <w:p>
      <w:r>
        <w:rPr>
          <w:b/>
        </w:rPr>
        <w:t>E. 7.4</w:t>
      </w:r>
    </w:p>
    <w:p>
      <w:r>
        <w:t>Ces principes valent pour l’examen de la relation de causalité exclusive ou (nettement) prépondérante sous l’angle de l’al. 1 comme de l’al. 2 de l’art. 9 LAA. Pour le lien de causalité entre une maladie et les substances nocives ou les travaux en cause au sens du premier alinéa, est cependant déterminante la mesure dans laquelle le risque d’être atteint par la maladie en raison de l’exposition à certaines substances nocives est augmenté compte tenu des données épidémiologiques. Il convient de se fonder sur le risque relatif (r-1), c’est-à-dire sur le rapport de probabilité de tomber malade entre des personnes exposées et celles qui ne le sont pas au sein d’une population déterminée, pour une période de temps délimitée. Dès lors que la cause prépondérante au sens de l’art. 9 al. 1 LAA n’est réalisée que si les substances nocives participent à plus de 50% de l’ensemble des causes à la survenance de la maladie, le risque relatif doit être supérieur à 2 (Jean-Maurice FRÉSARD / Margrit MOSER-SZELESS, L'assurance-accidents obligatoire in Schweizerisches Bundesverwaltungsrecht [SBVR], 3 ème éd., 2016, n. 165). ![endif]&gt;![if&gt;</w:t>
      </w:r>
    </w:p>
    <w:p>
      <w:r>
        <w:rPr>
          <w:b/>
        </w:rPr>
        <w:t>E. 7.5</w:t>
      </w:r>
    </w:p>
    <w:p>
      <w:r>
        <w:t>Selon la jurisprudence, l'aggravation d'un état maladif antérieur par des substances ou des travaux figurant sur la liste établie par le Conseil fédéral conformément à l'art. 9 al. 1 LAA ou par l'exercice de l'activité professionnelle au sens de l'art. 9 al. 2 LAA est assimilée à une affection provoquée par ces mêmes causes (ATF 117 V 354 ; cf. ATF 108 V 158 ).![endif]&gt;![if&gt;</w:t>
      </w:r>
    </w:p>
    <w:p>
      <w:r>
        <w:rPr>
          <w:b/>
        </w:rPr>
        <w:t>E. 8</w:t>
      </w:r>
    </w:p>
    <w:p>
      <w:r>
        <w:t>![endif]&gt;![if&gt;</w:t>
      </w:r>
    </w:p>
    <w:p>
      <w:r>
        <w:rPr>
          <w:b/>
        </w:rPr>
        <w:t>E. 8.1</w:t>
      </w:r>
    </w:p>
    <w:p>
      <w:r>
        <w:t>Pour constater l'existence d'une atteinte à la santé en lien avec l'exercice d'une activité professionnelle, le juge doit se fonder sur des rapports médicaux auxquels on peut attribuer un caractère probant suffisant selon la jurisprudence (arrêt du Tribunal fédéral 8C_800/2019 du 18 novembre 2020 consid. 3.2 et les références).![endif]&gt;![if&gt;</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8.3.1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8.3.2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11</w:t>
      </w:r>
    </w:p>
    <w:p>
      <w:r>
        <w:t>![endif]&gt;![if&gt;</w:t>
      </w:r>
    </w:p>
    <w:p>
      <w:r>
        <w:rPr>
          <w:b/>
        </w:rPr>
        <w:t>E. 11.1</w:t>
      </w:r>
    </w:p>
    <w:p>
      <w:r>
        <w:t>En l'espèce, il ressort du dossier que le recourant, qui souffre d'un emphysème pulmonaire (dossier intimée pièces 29, 101, 113), présente une toux sèche (pièces 29, 50, 113). ![endif]&gt;![if&gt; Dans son appréciation du 23 novembre 2021, le Dr D______, médecin du travail à la SUVA, a relevé que le recourant était exposé à des poussières de chantier et à des peintures dans le cadre de son travail (dossier intimée pièce 101). Dans la mesure où le recourant n'a pas effectué des travaux dans les poussières de coton, de chanvre, de lin, de céréales et de leurs farines, d'enzymes, de moisissures et autres poussières organiques lors de son activité auprès de l'entreprise assurée, le cas ne relève pas du ch. 2 let. b annexe 1 OLAA. Par contre, dans son appréciation du 17 mars 2021, le Dr C______, également médecin du travail à la SUVA, a, sur la base des fiches de données de sécurité des produits chimiques utilisés au sein de l'entreprise assurée, mentionné que le recourant, dans le cadre de son activité professionnelle, manipulait des colles et des liants à base de plâtre (sulfate de calcium) ou de carbonate de calcium, et des peintures siloxanes, alkydes ou acryliques (peinture en phase aqueuse ou solvant ; dossier intimée pièce 50 p. 2). Il s'avère donc que le recourant a été exposé, dans son activité professionnelle, à des substances dont certaines sont énumérées dans la liste des substances nocives dressée par le Conseil fédéral, telles que l'acide sulfurique, ses sels (sulfates) et esters (ch.1 annexe I OLAA). Par conséquent, le cas relève à la fois de l'al. 1 et de l'al. 2 de l'art. 9 LAA. Pour qu'on puisse admettre l'existence d'une maladie professionnelle, il faut dès lors que l'affection présentée par le recourant ait été provoquée, ou, cas échéant aggravée, pour plus de 50% par l'action des substances nocives de la liste en cause ou pour plus de 75% par l'exercice de l'activité professionnelle en relation avec les autres substances en question. Dans son appréciation du 24 décembre 2021 (dossier intimée pièce 113), sur laquelle se fonde la décision litigieuse, la Dre E______, médecin du travail et pneumologue à la SUVA, exclut, en s'appuyant sur les pièces médicales au dossier, l'existence d'une hyperréactivité bronchique, d'une BPCO et d'un asthme bronchique. Elle considère que la symptomatologie de toux sèche est imputable le plus vraisemblablement au reflux gastro-œsophagien (ou à un écoulement post-nasal). Elle explique que les principales causes d'un emphysème pulmonaire sont la BPCO ou un déficit en alpha-1-antitrypsine, lesquels n'ont cependant pas été objectivés chez le recourant, non-fumeur. Selon elle, ce dernier, qui n'a pas travaillé dans les mines de charbon, l'industrie textile, céréalière et du bois, n'a pas pu développer l'emphysème en inhalant les poussières dans ces milieux durant plusieurs années. Elle relève que les musiciens professionnels qui jouent des instruments à vent ou les souffleurs de verre peuvent présenter un emphysème en raison d'une distension des alvéoles due aux pressions exercées sur les poumons. Ceci dit, dans son rapport du 25 novembre 2021, le Dr D______ avait fait part de la nécessité d'investigations complémentaires sur le plan digestif en relation avec le reflux gastro-œsophagien ‒ qui n'ont pas été réalisées ‒, tout en employant le conditionnel pour qualifier le lien de causalité entre la maladie digestive et la symptomatologie de toux sèche (« le reflux gastro-œsophagien "pourrait" jouer un rôle non négligeable dans les symptômes de l'assuré »). Le Dr F______, médecin ORL traitant, a également utilisé le conditionnel pour conclure que le reflex gastro-œsophagien ne « pourrait » pas à lui seul expliquer complètement la symptomatologie du recourant (rapport du 25 mars 2022). C'est dire qu'on ignore sur la base de quel élément objectif médical la Dre E______ parvient à établir, au degré de la vraisemblance prépondérante, un lien entre le reflux gastro-œsophagien et la toux sèche du recourant. D'autant plus que, vu l'absence de diagnostic précis pouvant expliquer les plaintes du recourant, le Dr D______ avait invité la Dre E______ à examiner l'opportunité de faire procéder à un scanner en coupes fines, à la recherche d'une pathologie plus rare au niveau pulmonaire (rapport du 25 novembre 2021 ; dossier intimée pièce 108). Or, la Dre E______ ne s'est pas prononcée à ce sujet, tout en reconnaissant que l'emphysème pulmonaire a été objectivé, sans avoir toutefois donné une indication précise sur son étiologie. En particulier, elle ne s'est nullement déterminée quant à l'incidence ou non sur les troubles du recourant des substances chimiques qu'il a utilisées dans son activité. Certes, le Dr F______ a fait état d'une origine multifactorielle de l'affection, aggravée par l'environnement professionnel (rapport du 25 mars 2022 ; dossier intimée pièce 136) ; le recourant présente une réaction positive pour l'olivier, le frêne, le noisetier et les acariens, ainsi qu'un reflux gastro-œsophagien (dossier intimée pièces 12, 74, 107). Cela étant, même en présence d'une affection endogène et d'une disposition atopique, il y a lieu d'examiner si une aggravation de l'état de santé a été causée essentiellement ou d'une manière prépondérante par les substances en cause ou l'activité professionnelle exercée (soit si l'aggravation est due pour plus de 50% à l'action des substances nocives, respectivement pour plus de 75% à cette activité ; cf. arrêt du Tribunal fédéral U.35/05 du 12 janvier 2006 conid. 4.2). Or, le dossier ne contient aucun avis circonstancié sur ce point. C'est le lieu de relever que l'affection du recourant, non-fumeur, qui ne joue pas d'un instrument à vent, ni ne souffle de verre (dossier intimée pièce 136 ; procès-verbal de comparution personnelle des parties du 2 février 2023), a régressé pendant l'arrêt de travail (dossier intimée pièces 29, 50,136). Or, la Dre E______ n'a pas tenu compte de ce facteur. Enfin, la Dre E______ n'a pas indiqué s'il existe des données épidémiologiques qui permettraient de considérer que l'exposition aux substances chimiques par le recourant a entraîné pour lui un risque deux fois, voire quatre fois plus important de développer l'affection pulmonaire. Il ressort de ce qui précède que la Dre E______ n'a pas procédé à une étude fouillée du cas.</w:t>
      </w:r>
    </w:p>
    <w:p>
      <w:r>
        <w:rPr>
          <w:b/>
        </w:rPr>
        <w:t>E. 11.2</w:t>
      </w:r>
    </w:p>
    <w:p>
      <w:r>
        <w:t>En conséquence, son appréciation ne répond pas aux exigences de la jurisprudence relative à la valeur probante d'un tel document sur le point ici déterminant du caractère de maladie professionnelle de la pathologie dont souffre le recourant. ![endif]&gt;![if&gt; Si, en l'état du dossier, l'existence d'une maladie professionnelle ne peut être établie au degré de la vraisemblance prépondérante, on ne saurait pourtant nier d'emblée tout caractère professionnel à l'affection dont souffre le recourant. Il est dès lors nécessaire de recourir à une expertise indépendante (art. 44 LPGA) pour déterminer si et dans quelle mesure cette affection a été contractée par le recourant dans l'exercice de son travail. À cette fin, la cause est renvoyée à l'intimée pour complément d'instruction et nouvelle décision. Un renvoi à l'administration se justifie d'autant plus que l'intimée a insuffisamment instruit le dossier. L'expert qui sera mandaté est invité à répondre de manière circonstanciée aux questions ici en suspens.</w:t>
      </w:r>
    </w:p>
    <w:p>
      <w:r>
        <w:rPr>
          <w:b/>
        </w:rPr>
        <w:t>E. 12</w:t>
      </w:r>
    </w:p>
    <w:p>
      <w:r>
        <w:t>Au vu de ce qui précède, le recours est partiellement admis, la décision litigieuse annulée, et la cause renvoyée à l'intimée afin qu'elle procède conformément aux considérants. ![endif]&gt;![if&gt; Le recourant, représenté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3'000.-.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