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A/1913/2007 vom 5. Februar 2008</w:t>
      </w:r>
    </w:p>
    <w:p>
      <w:r>
        <w:t>GE Cour de justice, 2008-02-05, FR</w:t>
      </w:r>
    </w:p>
    <w:p>
      <w:r>
        <w:rPr>
          <w:b/>
        </w:rPr>
        <w:t xml:space="preserve">Quelle: </w:t>
      </w:r>
      <w:r>
        <w:t>https://mcp.opencaselaw.ch/entscheid/ge_gerichte_A_1913_2007</w:t>
      </w:r>
    </w:p>
    <w:p>
      <w:r>
        <w:t>FR: GE_GERICHTE A/1913/2007 du 5 février 2008</w:t>
      </w:r>
    </w:p>
    <w:p>
      <w:r>
        <w:t>IT: GE_GERICHTE A/1913/2007 del 5 febbraio 2008</w:t>
      </w:r>
    </w:p>
    <w:p>
      <w:pPr>
        <w:pStyle w:val="Heading2"/>
      </w:pPr>
      <w:r>
        <w:t>Erwägungen</w:t>
      </w:r>
    </w:p>
    <w:p>
      <w:r>
        <w:rPr>
          <w:b/>
        </w:rPr>
        <w:t>E. 2</w:t>
      </w:r>
    </w:p>
    <w:p>
      <w:r>
        <w:t>Le droit ne prend pas naissance tant que l’assuré peut faire valoir son droit à une indemnité journalière au sens de l’art. 22. En conséquence l'assurée ne saurait prétendre à l'octroi d'une rente d'invalidité qu'à compter du 3 décembre 2004, soit à l'expiration du délai de carence. La décision de l'OCAI doit être sur ce point confirmée.</w:t>
      </w:r>
    </w:p>
    <w:p>
      <w:r>
        <w:rPr>
          <w:b/>
        </w:rPr>
        <w:t>E. 6</w:t>
      </w:r>
    </w:p>
    <w:p>
      <w:r>
        <w:t>S'agissant de la seconde période, soit celle courant du 1 er juin 2005 au 1 er mai 2007, le Tribunal fédéral des assurances a, dans une jurisprudence constante, considéré qu'une décision par laquelle l'assurance-invalidité accorde une rente d'invalidité avec effet rétroactif et, en même temps, prévoit la réduction ou la suppression de cette rente, correspond à une décision de révision (ATF 125 V 417 consid. 2d et les références ; VSI 2001 p. 157 consid.). Aux termes de l'art. 17 al. 1 LPGA, si le taux d'invalidité du bénéficiaire de la rente subit une modification notable, la rente est, d'office ou sur demande, révisée pour l'avenir, à savoir augmentée ou réduite en conséquence, ou encore supprimée. Il convient de relever que cette disposition n'a pas apporté de modification aux principes jurisprudentiels développés sous le régime de l'ancien art. 41 LAI, en vigueur jusqu'au 31 décembre 2002 (ATF 130 V 343 consid. 3.5).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[Hrsg], Die Revision von Dauerleistungen in der Sozialversicherung, Saint-Gall, 1999, p. 15). En cas d'allocation d'une rente dégressive ou temporaire, la date de la modification du droit (diminution ou suppression de la rente) doit être fixée conformément à l'art. 88 a al. 1 RAI (ATF 125 V 417 consid. 2d ;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 al. 1 et 3 LPGA, l'invalidité est définie comme étant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Selon l'art. 28 al. 1 LAI dans sa teneur en vigueur jusqu'au 31 décembre 2003, l'assuré a droit à une rente entière s'il est invalide à 66 2/3% au moins, à une demi-rente s'il est invalide à 50% au moins, ou à un quart de rente s'il est invalide à 40% au moins ; dans les cas pénibles, l'assuré peut, d'après l'art. 28 al. 1bis LAI, prétendre à une demi-rente s'il est invalide à 40%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 ATFA non publiés du 17 mai 2005, I 7/05, consid. 2, du 6 septembre 2004, I 249/04, consid. 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il n'est pas contesté que l'assurée présente une capacité de travail nulle en tant qu'aide-soignante. L'OCAI s'est fondé sur le rapport établi par le SMR le 6 avril 2006, selon lequel en revanche sa capacité est complète dans un travail adapté à ses limitations fonctionnelles, avec une diminution de rendement de l'ordre de 30%, depuis mars 2005, soit six mois après l'intervention pratiquée en septembre 2004. C'est la raison pour laquelle, vu le résultat obtenu après avoir comparé les revenus avant et après l'invalidité sur cette base, l'OCAI a diminué de moitié la rente jusque-là octroyée, ce à compter du 1 er juin 2005 conformément à l'art. 88 a du règlement du 17 janvier 1961 sur l’assurance-invalidité (RAI). Il a par ailleurs reconnu le droit de l'assurée à une rente entière dès le 1 er mai 2007, compte tenu de l'intervention subie en février 2007, et s'est proposé de rendre une nouvelle décision en ce sens. 12. Il y a lieu de déterminer si, en mars 2005, l'état de santé de l'assurée s'était effectivement amélioré, ce que celle-ci conteste. Le Dr H_________ a indiqué, le 17 avril 2007, que l'incapacité de travail de sa patiente était de 100%, à réévaluer ultérieurement en fonction de l'évolution clinique post-chirurgicale. Le Dr G_________ a fait état d'un pronostic favorable grâce à l'intervention de février 2007 et a souligné que "rétrospectivement on ne peut que considérer l'incapacité de travail de 100% chez l'assurée comme évidente dans la mesure où l'intervention de septembre 2004 n'a pas abouti au résultat escompté." 13. L'assurée reproche aux médecins du SMR de n'avoir pas précisé pour quels motifs elle pourrait travailler dans une activité adaptée avec baisse de rendement de 30% et selon ses limitations fonctionnelles. Ceux-ci ont pourtant clairement expliqué les conclusions de leur rapport. Ils ont décrit précisément quelles étaient les limitations subies par l'assurée dans l'exercice d'une activité professionnelle, dues aux lombalgies dont elle souffrait et aux douleurs que celles-ci entraînaient. Il n'y a dès lors pas lieu de s'écarter d'emblée de leurs constatations, même s'ils n'ont pu tenir compte que des éléments diagnostiques connus au moment de leur examen. 14. De nouveaux diagnostics ont en effet été posés, lesquels ont justifié une intervention chirurgicale pratiquée en février 2007. Aussi, selon l'assurée, le diagnostic de trouble somatoforme douloureux n'a-t-il plus de sens puisqu'il n'avait été envisagé par les médecins traitants que parce qu'ils ignoraient l'origine des douleurs. Lorsque l'OCAI a rendu sa décision, il a en effet examiné si le trouble somatoforme douloureux alors diagnostiqué était ou non invalidant, bien que les médecins du SMR aient expressément écarté la présence d'un tel trouble, se bornant à retenir celui de majoration de symptômes physiques pour des raisons psychologiques. Il a considéré que tel n'était pas le cas, l'assurée ne présentant pas une comorbidité psychologique grave, et sa situation ne réalisant pas non plus les critères énumérés par la jurisprudence. Reste qu'en raison de ses atteintes lombaires quoi qu'il en soit, les médecins du SMR ont en avril 2006 fixé à 100% la capacité de travail, avec une baisse de rendement de 30%, dans une activité adaptée. Par cette baisse de rendement, ils ont précisément entendu tenir compte "des douleurs et des changements de position nécessaires". Le fait que de nouveaux diagnostics aient été posés, objectivant les douleurs dont l'assurée se plaignait, ne change rien quant au taux de capacité de travail retenu. La capacité de travail ne peut pas être réévaluée du seul fait qu'un diagnostic plus précis a été ultérieurement posé. Aucun des médecins traitants n'a à cet égard allégué que les limitations fonctionnelles décrites par les médecins du SMR seraient plus importantes parce qu'une relecture du diagnostic initialement retenu avait été faite. Le recours doit en conséquence être également rejeté sur ce point et la suppression de la rente entière pour une demi-rente confirmée dès le 1 er juin 2005, étant précisé au surplus que la cause doit être renvoyée à l'OCAI afin qu'il notifie une nouvelle décision à l'assurée lui octroyant une rente entière dès le 1 er mai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