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A/1908/2023 vom 8. Oktober 2024</w:t>
      </w:r>
    </w:p>
    <w:p>
      <w:r>
        <w:t>GE Cour de justice, 2024-10-08, FR</w:t>
      </w:r>
    </w:p>
    <w:p>
      <w:r>
        <w:rPr>
          <w:b/>
        </w:rPr>
        <w:t xml:space="preserve">Quelle: </w:t>
      </w:r>
      <w:r>
        <w:t>https://mcp.opencaselaw.ch/entscheid/ge_gerichte_A_1908_2023</w:t>
      </w:r>
    </w:p>
    <w:p>
      <w:r>
        <w:t>FR: GE_GERICHTE A/1908/2023 du 8 octobre 2024</w:t>
      </w:r>
    </w:p>
    <w:p>
      <w:r>
        <w:t>IT: GE_GERICHTE A/1908/2023 del 8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 recours a pour objet la décision de l’autorité intimée du 8 mai 2023 refusant d’entrer en matière sur la « demande de reconsidération » formée contre sa décision du 8 mars 2023.</w:t>
      </w:r>
    </w:p>
    <w:p>
      <w:r>
        <w:rPr>
          <w:b/>
        </w:rPr>
        <w:t>E. 2.1</w:t>
      </w:r>
    </w:p>
    <w:p>
      <w:r>
        <w:t>Découlant directement de l'art. 9 de la Constitution fédérale de la Confédération suisse du 18 avril 1999 (Cst. - RS 101) et valant pour l'ensemble de l'activité étatique,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celle-ci peuvent l'obliger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149 V 203 consid. 5.1 ; 146 I 105 consid. 5.1.1 ; 143 V 95 consid. 3.6.2). Le principe de la confiance, découlant de celui de la bonne foi, commande aussi à l'administration d'avoir un comportement cohérent et dépourvu de contradiction; la jurisprudence y a parfois recours pour corriger les conséquences préjudiciables aux intérêts des administrés qui en découleraient (ATF 111 V 81 consid. 6 ; 108 V 84 consid. 3a ; arrêt du Tribunal fédéral 1C_500/2020 du 11 mars 2021 consid. 3.4.1).</w:t>
      </w:r>
    </w:p>
    <w:p>
      <w:r>
        <w:rPr>
          <w:b/>
        </w:rPr>
        <w:t>E. 2.2</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ATA/1301/2023 du 5 décembre 2023 consid. 5.2).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la remise en question de cette dernière ( ATA/1115/2023 du 10 octobre 2023 consid. 2.1 et les références citées). 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2.3</w:t>
      </w:r>
    </w:p>
    <w:p>
      <w:r>
        <w:t>Les écrits doivent parvenir à l’autorité ou être remis à son adresse à un bureau de poste suisse ou à une représentation diplomatique ou consulaire suisse au plus tard le dernier jour du délai avant minuit (art. 17 al. 4 LPA ; ATA/984/2014 du 9 décembre 2014 confirmé par l’arrêt du Tribunal fédéral 2C_56/2015 du 13 mai 2015). Les délais sont réputés observés lorsqu’une partie s’adresse par erreur en temps utile à une autorité incompétente (art. 17 al. 5 LPA).</w:t>
      </w:r>
    </w:p>
    <w:p>
      <w:r>
        <w:rPr>
          <w:b/>
        </w:rPr>
        <w:t>E. 2.4</w:t>
      </w:r>
    </w:p>
    <w:p>
      <w:r>
        <w:t>Invoquant pour seul grief le principe de la bonne foi, la recourante reproche à l’intimée d’avoir traité son cas sous l’angle de la reconsidération. Elle soutient que le courriel du 16 mars 2023 de l’intimée selon lequel son dossier était « actuellement en cours de traitement » ne pouvait qu’être compris en ce sens que la PCTN entendait rendre une nouvelle décision, dès lors que sa décision du 8 mars 2023 avait été rendue sans prise en compte de ses explications figurant dans son courrier du 1 er mars 2023. La décision du 8 mars 2023 devenait ainsi « sans objet ». En l’occurrence, dans la décision litigieuse, l’intimée a refusé d’entrer en matière sur la « demande de reconsidération » de sa décision du 8 mars 2023, au motif que les éléments apportés par la recourante n’étaient pas nouveaux puisqu’ils auraient pu être invoqués dans le cadre de sa requête en AUADP. Ce raisonnement n’est pas critiquable. En effet, par courrier du 10 février 2023, la PCTN a informé l’intéressée qu’elle envisageait de rejeter sa requête en délivrance d’une AUADP et lui a fixé un délai au 24 février 2023 pour faire part de ses observations. À la suite d’une demande de prolongation formée par la recourante, un ultime délai au 2 mars 2023 lui a été accordé pour observations. Or, la recourante n’a pas exercé son droit d’être entendue dans le délai imparti par l’autorité intimée. Il ressort en effet du dossier que son courrier du 1 er mars a été expédié le 2 mars 2023 depuis la France. Or, en application de l’art. 17 al. 4 LPA, c’est la date de réception par l’autorité qui doit être prise en considération dans ce cas. Ainsi, et dans la mesure où le courrier du 1 er mars 2023 a été reçu le 13 mars 2023 par l’autorité intimée, force est de constater que la recourante n’a pas respecté le délai imparti par l’autorité intimée pour exercer son droit d’être entendue. Il n’est ainsi pas critiquable que la décision du 8 mars 2023 ait été prise avant la réception de ses observations. Dans ces conditions, la recourante ne pouvait de bonne foi partir de l’idée que la décision du 8 mars 2023 était « devenue sans objet », puisqu’elle avait été rendue avant la réception de ses observations. Elle ne pouvait davantage comprendre du courriel de l’intimée du 16 mars 2023, selon lequel son courrier du 1 er mars 2023 et son courriel du 16 mars 2023 étaient « en cours de traitement », qu’une nouvelle décision serait rendue, en lieu et place de celle du 8 mars 2023. L’intimée s’est en effet limitée à informer la recourante que ses documents étaient en cours de traitement. Or, dans la mesure où ils ont été transmis à l’autorité intimée, on ne saurait lui reprocher de les avoir traités sous l’angle de la reconsidération. Si la recourante avait un doute à ce sujet, il lui appartenait de former un recours en temps utile, ce qu’elle admet ne pas avoir fait. Enfin, contrairement à ce que laisse entendre la recourante, le fait que l’intimée ait procédé à une instruction ne constitue pas un comportement contradictoire, puisque l’intimée devait déterminer si les éléments invoqués constituaient des faits nouveaux. Le grief tiré de la violation du principe de la bonne foi doit partant être rejeté. Pour le reste, il n’est pas contesté, ni contestable, que les éléments invoqués dans le courriel de la recourante du 16 mars 2023 ne constituent pas des faits nouveaux qu’elle ne pouvait pas connaître ou invoquer dans la procédure précédente. Ces éléments lui étaient en effet pleinement connus et pouvaient être invoqués dans sa requête en AUADP. Enfin, la demande de reconsidération ne fait mention d’aucun motif de révision. C’est partant à juste titre que l’autorité intimée a refusé d’entrer en matière sur la demande de reconsidération formée par la recourante. Mal fondé, le recours sera rejeté.</w:t>
      </w:r>
    </w:p>
    <w:p>
      <w:r>
        <w:rPr>
          <w:b/>
        </w:rPr>
        <w:t>E. 2.5</w:t>
      </w:r>
    </w:p>
    <w:p>
      <w:r>
        <w:t>Vu l’issue du litige, un émolument de CHF 400.- sera mis à la charge de la recourante, qui ne peut se voir alloué une indemnité de procédure (art. 87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