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A/1908/2022 vom 1. Dezember 2022</w:t>
      </w:r>
    </w:p>
    <w:p>
      <w:r>
        <w:t>GE Cour de justice, 2022-12-01, FR</w:t>
      </w:r>
    </w:p>
    <w:p>
      <w:r>
        <w:rPr>
          <w:b/>
        </w:rPr>
        <w:t xml:space="preserve">Quelle: </w:t>
      </w:r>
      <w:r>
        <w:t>https://mcp.opencaselaw.ch/entscheid/ge_gerichte_A_1908_2022</w:t>
      </w:r>
    </w:p>
    <w:p>
      <w:r>
        <w:t>FR: GE_GERICHTE A/1908/2022 du 1 décembre 2022</w:t>
      </w:r>
    </w:p>
    <w:p>
      <w:r>
        <w:t>IT: GE_GERICHTE A/1908/2022 del 1 dicembre 2022</w:t>
      </w:r>
    </w:p>
    <w:p>
      <w:pPr>
        <w:pStyle w:val="Heading2"/>
      </w:pPr>
      <w:r>
        <w:t>Erwägungen</w:t>
      </w:r>
    </w:p>
    <w:p>
      <w:r>
        <w:rPr>
          <w:b/>
        </w:rPr>
        <w:t>E. 3</w:t>
      </w:r>
    </w:p>
    <w:p>
      <w:r>
        <w:t>Le litige porte sur le bien-fondé de la suspension pour une durée de dix jours du versement de l'indemnité au recourant. ![endif]&gt;![if&gt;</w:t>
      </w:r>
    </w:p>
    <w:p>
      <w:r>
        <w:rPr>
          <w:b/>
        </w:rPr>
        <w:t>E. 4</w:t>
      </w:r>
    </w:p>
    <w:p>
      <w:r>
        <w:t>![endif]&gt;![if&gt;</w:t>
      </w:r>
    </w:p>
    <w:p>
      <w:r>
        <w:rPr>
          <w:b/>
        </w:rPr>
        <w:t>E. 4.1</w:t>
      </w:r>
    </w:p>
    <w:p>
      <w:r>
        <w:t>L'assuré a droit à l'indemnité de chômage s'il satisfait, entre autres conditions, aux exigences du contrôle (art. 8 al. 1 let. g LACI).![endif]&gt;![if&gt; Les données de contrôle sont transmises par l’assuré au moyen du formulaire « Indications de la personne assurée » (art. 23 al. 1 de l’ordonnance sur l'assurance-chômage obligatoire et l'indemnité en cas d'insolvabilité du 31 août 1983 [ordonnance sur l’assurance-chômage, OACI - RS 837.02]). Elles fournissent les informations suivantes : a. les jours ouvrables pour lesquels l’assuré rend vraisemblable qu’il était au chômage et apte au placement; b. tous les faits pertinents pour la détermination du droit à l’indemnité de l’assuré, tels que maladie, service militaire, absence pour cause de vacances, participation à une mesure relative au marché du travail, gain intermédiaire et étendue de la perte de travail à prendre en considération (art. 23 al. 2 OACI).</w:t>
      </w:r>
    </w:p>
    <w:p>
      <w:r>
        <w:rPr>
          <w:b/>
        </w:rPr>
        <w:t>E. 4.2</w:t>
      </w:r>
    </w:p>
    <w:p>
      <w:r>
        <w:t>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d’aviser.![endif]&gt;![if&gt; Il importe peu que les renseignements faux ou incomplets soient ou non à l'origine d'un versement indu de prestations (Bulletin LACI ch. D38). La durée de la suspension est proportionnelle à la gravité de la faute (art. 30 al. 3 LACI). L'OACI distingue trois catégories de faute - légère, moyenne et grave - et prévoit, pour chacune d'elles, une durée minimale et maximale de suspension : de 1 à 15 jours en cas de faute légère, de 16 à 30 jours en cas de faute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Selon le barème (Bulletin LACI IC/D79) établi par le SECO, lorsque l'assuré ne se présente pas à un entretien de conseil ou à une séance d'information sans motif valable, la sanction se situe entre 5 et 8 jours s'il s'agit du premier manquement</w:t>
      </w:r>
    </w:p>
    <w:p>
      <w:r>
        <w:rPr>
          <w:b/>
        </w:rPr>
        <w:t>E. 5</w:t>
      </w:r>
    </w:p>
    <w:p>
      <w:r>
        <w:t>En l'espèce, il sied tout d’abord de souligner que l’intimée ne prétend pas que l’assuré a tenté d’obtenir indument l’indemnité de chômage (cf. art. 30 al. 1 let. f LACI). Elle lui reproche simplement une violation de l’obligation d’énoncer au sens de l’art. 30 al. 1 let. e LACI, tenant ainsi compte des explications et excuses avancées par l’assuré, auxquelles elle a accordé du crédit. ![endif]&gt;![if&gt; La Cour de céans partage ce point de vue, dès lors que l’assuré a spontanément communiqué à la caisse son bulletin de salaire, bien que tardivement, début octobre 2021 seulement. L’allégation selon laquelle il aurait transmis à l’intimée son contrat de travail en juillet 2021 déjà n’est corroborée par aucun élément du dossier et le recourant n’a pu apporter la preuve de ses dires à ce sujet. Il est en revanche établi que dans ses formulaires IPA de juillet et août 2021, il a répondu par la négative à la question de savoir s’il avait ou non travaillé, donnant ainsi des indications erronées et non conformes à la réalité. Il y a donc bel et bien eu violation des obligations de l’assuré, de sorte que l’existence d’une faute doit être admise. Reste à examiner la quotité de la sanction infligée.</w:t>
      </w:r>
    </w:p>
    <w:p>
      <w:r>
        <w:rPr>
          <w:b/>
        </w:rPr>
        <w:t>E. 6</w:t>
      </w:r>
    </w:p>
    <w:p>
      <w:r>
        <w:t>Le SECO ne donne aucune indication de sanction pour une telle violation, se contentant de suggérer une sanction « selon la faute » et « selon le cas particulier » (cf. Bulletin LACI D79 ch. 5). ![endif]&gt;![if&gt; Dans un arrêt ATAS/660/2011 , la Cour de céans a rappelé la jurisprudence en la matière. Le cas de suspension visé à l'art 30 al. 1 let e LACI est réalisé dès l'instant où l'assuré n'a pas rempli la formule IPA de manière correcte, complète et conforme à la vérité (arrêt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p. 387; arrêt C 288/06 du 27 mars 2007 consid. 2, in DTA 2007 p. 210). Contrairement à la situation envisagée à l'art. 30 al. 1 let. f LACI, le critère subjectif de l'intention, soit le fait d'agir avec conscience et volonté, n'est pas une condition d'application de l'art 30 al. 1 let e LACI (arrêt C 288/06 du 27 mars 2007 consid. 2 et les références; arrêt 8C_457/2010 du 10 novembre 2010). La doctrine rappelle que, pour apprécier la gravité de la faute, il faut partir de la valeur moyenne de l'échelle applicable à la faute considérée (légère, moyenne ou grave), puis raccourcir ou allonger la durée de la suspension en fonction des circonstances. Le Tribunal cantonal doit se limiter à examiner si l'administration a fait un usage critiquable de son pouvoir d'appréciation (arrêt 8C 316/07 du 16 avril 2008 consid. 2.2). La casuistique ressortant de la jurisprudence du Tribunal fédéral retient une faute grave justifiant une suspension de 31 jours pour le cas d'un assuré qui n'a pas annoncé une activité rémunérée durant plus de deux mois, en omettant de le mentionner sur trois cartes de contrôle successives (arrêt 9C 169/05 précité), une faute légère (au lieu de moyenne) justifiant une sanction ramenée à 8 jours au lieu de 15 dans le cas d'une assurée qui a remis à la caisse son contrat d'engagement six jours après le début de l'emploi le 9 décembre 2008, mais n'a pas mentionné cet emploi sur ses cartes IPA de décembre 2008 et janvier 2009 (à noter que l'intéressée s'était étonnée en juin 2009 auprès de la caisse que ses gains de décembre 2008 et janvier 2009 n'aient pas été déduits de ses indemnités durant ces deux mois (arrêt 8C_457/2010 du 10 novembre 2010) ou encore une sanction de 20 jours dans le cas d'un assuré ayant rempli la formule IPA de manière inexacte, tout en informant son conseiller ORP de l'existence d'un gain intermédiaire. Dans ce cas-là, l'information correcte n'avait pas été donnée à la caisse, qui était seule compétente pour le calcul et le versement des indemnités (arrêt C_288/06).</w:t>
      </w:r>
    </w:p>
    <w:p>
      <w:r>
        <w:rPr>
          <w:b/>
        </w:rPr>
        <w:t>E. 7</w:t>
      </w:r>
    </w:p>
    <w:p>
      <w:r>
        <w:t>En l’occurrence, on se trouve dans une situation très similaire à celle évoquée dans l’arrêt C_288/06 : le recourant a informé sa conseillère en placement de son emploi, mais non la caisse. Il a rempli de manière erronée deux formulaires IPA consécutifs et n’a transmis à la caisse son bulletin de salaire qu’à l’issue du troisième mois, dont le formulaire IPA y relatif a en outre été complété correctement. ![endif]&gt;![if&gt; L’intéressé a expliqué qu’il s’agissait de la première fois qu’il exerçait une mission temporaire, que la centrale UNIA lui aurait indiqué de procéder de cette façon, et qu’il n’a pas prêté toute l’attention nécessaire aux formulaires IPA litigieux en raison de la maladie de sa sœur. Ces arguments ne sauraient toutefois le disculper de toute faute. En premier lieu, ainsi qu’il l’a reconnu lui-même, la personne contactée par téléphone à la centrale lui a bien recommandé de joindre son bulletin de salaire aux formulaires IPA, ce qu’il n’a fait que début octobre 2021. En second lieu, même si l’on peut comprendre aisément les tourments que lui inspiraient l’état de sa sœur, cela n’est pas suffisant pour admettre qu’il en aurait perdu sa capacité de discernement et les ressources nécessaires pour s’acquitter de ses obligations et ce, deux mois de suite. D’autant moins que, durant toute la période considérée, il a été capable d’exercer une activité lucrative. D’un autre côté, il s’agissait-là du premier manquement reproché à l’assuré - même s’il s’est reproduit deux mois de suite. Au vu de ces éléments, on ne saurait reprocher à l’intimée d’avoir qualifié la faute de l’assuré de légère. Au contraire, ce faisant, elle a fait preuve d’une mansuétude démontrant qu’elle a bel et bien pris en considération les explications et excuses de l’intéressé. Dans la mesure où la sanction correspond au milieu de la fourchette prévue par l'art. 45 al. 3 OACI en cas de faute légère, la décision de l'intimé n'apparaît pas critiquable. Partant, le recours est rejeté et la décision litigieuse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