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A/1906/2010 vom 15. November 2011</w:t>
      </w:r>
    </w:p>
    <w:p>
      <w:r>
        <w:t>GE Cour de justice, 2011-11-15, FR</w:t>
      </w:r>
    </w:p>
    <w:p>
      <w:r>
        <w:rPr>
          <w:b/>
        </w:rPr>
        <w:t xml:space="preserve">Quelle: </w:t>
      </w:r>
      <w:r>
        <w:t>https://mcp.opencaselaw.ch/entscheid/ge_gerichte_A_1906_2010</w:t>
      </w:r>
    </w:p>
    <w:p>
      <w:r>
        <w:t>FR: GE_GERICHTE A/1906/2010 du 15 novembre 2011</w:t>
      </w:r>
    </w:p>
    <w:p>
      <w:r>
        <w:t>IT: GE_GERICHTE A/1906/2010 del 15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Monsieur K______ est contribuable genevois, domicilié - selon les registres de l'office cantonal de la population - à X______.</w:t>
      </w:r>
    </w:p>
    <w:p>
      <w:r>
        <w:rPr>
          <w:b/>
        </w:rPr>
        <w:t>E. 2</w:t>
      </w:r>
    </w:p>
    <w:p>
      <w:r>
        <w:t>M. K______ n'ayant pas remis de déclaration fiscale en 2006, 2007 et 2008, il a fait l'objet de taxations d'office pour ces exercices.</w:t>
      </w:r>
    </w:p>
    <w:p>
      <w:r>
        <w:rPr>
          <w:b/>
        </w:rPr>
        <w:t>E. 3</w:t>
      </w:r>
    </w:p>
    <w:p>
      <w:r>
        <w:t>Le 24 octobre 2009, par l'entremise de Madame Heide-Marie Hartmann de l'entreprise « Bureau-Services », il a fait parvenir à l'administration fiscale cantonale (ci-après : AFC) ses déclarations 2007 et 2008, et demandé à celle-ci de revoir sa taxation 2006.</w:t>
      </w:r>
    </w:p>
    <w:p>
      <w:r>
        <w:rPr>
          <w:b/>
        </w:rPr>
        <w:t>E. 4</w:t>
      </w:r>
    </w:p>
    <w:p>
      <w:r>
        <w:t>Par décisions sur réclamation du 22 avril 2010, l'AFC a rejeté les réclamations de M. K______ portant sur les impôts cantonaux et communaux (ci après : ICC) et sur l'impôt fédéral direct (ci-après : IFD) 2006, 2007 et 2008.</w:t>
      </w:r>
    </w:p>
    <w:p>
      <w:r>
        <w:rPr>
          <w:b/>
        </w:rPr>
        <w:t>E. 5</w:t>
      </w:r>
    </w:p>
    <w:p>
      <w:r>
        <w:t>Le 20 mai 2010, M. K______ a recouru contre les décisions précitées auprès de la commission cantonale de recours en matière administrative (ci-après : CCRA), devenue le 1 er janvier 2011 le Tribunal administratif de première instance (ci-après : TAPI).</w:t>
      </w:r>
    </w:p>
    <w:p>
      <w:r>
        <w:rPr>
          <w:b/>
        </w:rPr>
        <w:t>E. 6</w:t>
      </w:r>
    </w:p>
    <w:p>
      <w:r>
        <w:t>Le 7 septembre 2010, la CCRA a déclaré les recours irrecevables. M. K______ n'avait pas effectué l'avance de frais dans le délai imparti au 2 juillet 2010. Cette avance lui avait été demandée par pli recommandé du 2 juin 2010, sous peine d'irrecevabilité. Ce recommandé était revenu avec la mention « non réclamé », et il était donc réputé avoir été notifié le dernier jour du délai de garde, soit le 9 juin 2010. M. K______ n'avait par ailleurs pas allégué avoir été empêché sans sa faute de s'acquitter en temps utile du montant réclamé.</w:t>
      </w:r>
    </w:p>
    <w:p>
      <w:r>
        <w:rPr>
          <w:b/>
        </w:rPr>
        <w:t>E. 7</w:t>
      </w:r>
    </w:p>
    <w:p>
      <w:r>
        <w:t>La décision a été envoyée à M. K______ par pli recommandé le 15 septembre 2010. Elle est revenue à la CCRA le 28 septembre 2010 avec la mention « non réclamé ». Le même jour, soit le 28 septembre 2010, la CCRA a réexpédié la décision par pli simple, en indiquant dans son envoi la phrase suivante : « Nous attirons votre attention sur le fait que la décision citée en marge a été notifiée valablement et que le délai de recours a commencé à courir ».</w:t>
      </w:r>
    </w:p>
    <w:p>
      <w:r>
        <w:rPr>
          <w:b/>
        </w:rPr>
        <w:t>E. 8</w:t>
      </w:r>
    </w:p>
    <w:p>
      <w:r>
        <w:t>Vu l'issue du litige, un émolument de CHF 300.- sera mis à la charge du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