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A/1903/2004 vom 5. Oktober 2005</w:t>
      </w:r>
    </w:p>
    <w:p>
      <w:r>
        <w:t>GE Cour de justice, 2005-10-05, FR</w:t>
      </w:r>
    </w:p>
    <w:p>
      <w:r>
        <w:rPr>
          <w:b/>
        </w:rPr>
        <w:t xml:space="preserve">Quelle: </w:t>
      </w:r>
      <w:r>
        <w:t>https://mcp.opencaselaw.ch/entscheid/ge_gerichte_A_1903_2004</w:t>
      </w:r>
    </w:p>
    <w:p>
      <w:r>
        <w:t>FR: GE_GERICHTE A/1903/2004 du 5 octobre 2005</w:t>
      </w:r>
    </w:p>
    <w:p>
      <w:r>
        <w:t>IT: GE_GERICHTE A/1903/2004 del 5 ottobre 2005</w:t>
      </w:r>
    </w:p>
    <w:p>
      <w:pPr>
        <w:pStyle w:val="Heading2"/>
      </w:pPr>
      <w:r>
        <w:t>Volltext</w:t>
      </w:r>
    </w:p>
    <w:p>
      <w:r>
        <w:t>Genève Cour de justice (Cour de droit public) Chambre des assurances sociales 05.10.2005 A/1903/2004</w:t>
      </w:r>
    </w:p>
    <w:p>
      <w:r>
        <w:t>A/1903/2004 ATAS/852/2005 du 05.10.2005 ( AI ) , REJETE Recours TF déposé le 22.11.2005, rendu le 04.01.2007, REJETE, I 839/05 En fait En droit RÉPUBLIQUE ET CANTON DE GENÈVE POUVOIR JUDICIAIRE A/1903/2004 ATAS/852/2005 ARRET DU TRIBUNAL CANTONAL DES ASSURANCES SOCIALES Chambre 4 du 5 octobre 2005 En la cause Monsieur D__________, comparant avec élection de domicile en l'étude de Maître BRATSCHI Gilbert recourant contre OFFICE CANTONAL DE L'ASSURANCE INVALIDITE, rue de Lyon 97, case postale 425, 1211 GENEVE 13 intimé EN FAIT Monsieur D__________, né le 27 mars 1950, d’origine portugaise, a travaillé en Suisse depuis 1988 en qualité de maçon. Le 10 avril 1989, alors qu’il travaillait sur un chantier, l’intéressé a été victime d’un accident ; suite à la rupture d’un câble de levage de panneau de coffrage, il a reçu le câble de la grue sur l’arrière de la tête. Les médecins ont diagnostiqué une contusion, sans fracture ; le status neurologique était normal. L’intéressé a été en incapacité de travail à 100 % du 10 avril 1989 au 19 avril 1989, date à laquelle il a repris le travail à temps complet. En mai 1990, un nouveau bilan radiologique conventionnel a été pratiqué au niveau cervical et montrait un rétrolisthésis de C3 sur C4. L’accident a été pris en charge par la SUVA. L’intéressé a déposé une demande de rente auprès de l’Office cantonal de l’assurance-invalidité (ci-après l’OCAI) en date du 29 octobre 1999, en raison d’une aggravation progressive des douleurs dans la nuque depuis l’accident de 1989. Dans son rapport à l’OCAI du 28 avril 2000, le Docteur A__________, médecin traitant, a indiqué que son patient était en traitement depuis le 31 mars 1998. Il a diagnostiqué une cervicarthrose C3-C4 avec obturation partielle des trous de conjugaisons à droite, un syndrome cervico-brachial bilatéral dominant à droite, une hypertension artérielle et un état dépressif réactionnel chez un malade chronique dont la famille réside au Portugal. L’assuré est en incapacité de travail à 100 % depuis le 28 septembre 1998. Le médecin rappelle que l’assuré a été victime d’un accident de chantier en 1989, peu investigué. Il a relevé que les différents traitements n’ont eu qu’un effet temporaire, avec installation d’un état dépressif, ce malade vivant loin de sa famille. Une reprise de travail en tant que maçon était impossible et une réadaptation professionnelle lui paraissait illusoire. Il estimait qu’une rente d’invalidité se justifiait. L’OCAI a ordonné une expertise pluridisciplinaire qu’il a confiée au COMAI de Lausanne. L’assuré a été examiné les 18 septembre, 25 septembre, 5 octobre et 12 octobre 2001. Il a fait l’objet d’un examen clinique, neurologique, psychiatrique et rhumatologique. Dans son rapport du 13 décembre 2001, le COMAI relève que les examens radiologiques ont montré une discarthrose C3-C4. La consultation de neurologie n’a pas révélé de déficit neurologique et d’un point de vue strictement neurologique, la capacité de travail est complète dans l’activité de maçon. Le rhumatologue a constaté que l’assuré présentait des cervico-brachialgies et des lombalgies chroniques dans le contexte d’une cervicarthrose minime sans signes radiculaires irritatifs ou déficitaires, associées à une hypercontracture de la ceinture scapulaire et pelvienne et d’une fibromyalgie. La capacité de travail dans son activité antérieure de maçon a été estimée à 70 % et dans une activité adaptée, avec prise en charge physiothérapeutique adéquate et médicamenteuse myorelaxante et antalgique, à 100 % . Le psychiatre ayant examiné l’assuré a posé les diagnostics de trouble dépressif majeur récurrent et trouble somatoforme douloureux. Selon lui, une réadaptation professionnelle semblait illusoire et la capacité de travail était de 35 %, même dans une activité adaptée. Un traitement adéquat de l’état dépressif pourrait permettre à l’assuré de recouvrer en partie une capacité de travail à 50 % dans une activité adaptée, ce dans un futur assez éloigné. Lors du colloque de synthèse multidisciplinaire, les médecins du COMAI ont exprimé leurs doutes quant au retentissement réel au niveau de la capacité de travail des troubles psychiques et ont déclaré qu’ils ne partageaient pas l’avis de leurs consultants en psychiatrie quant à l’importance de la diminution de la capacité de travail pour des raisons psychiatriques strictes. Il a été relevé une majoration des symptômes évidentes et l’appréciation globale selon le modèle bio-psychosocial a conduit le COMAI à conclure à une capacité de travail résiduelle en tant que maçon de 60 %. Avec un suivi psychiatrique régulier et éventuellement une augmentation de la dose médicamenteuse, une amélioration de la capacité de travail jusqu’à 70 % n’était pas à exclure dans le futur. Dans une note du 2 janvier 2002, le Docteur B__________, médecin de l’OCAI, a estimé que l’évaluation psychiatrique faite au COMAI était très insuffisante, dans la mesure où les critères de la récurrence n’existaient pas dans le rapport. Quant au Docteur C__________, médecin de l’Office AI du canton du Jura, il a souligné dans une note du 30 septembre 2002 adressée à l’OCAI de Genève, la discordance entre le psychiatre et les autres experts : l’expertise du COMAI semblait une sorte de compromis flou entre les somaticiens et le psychiatre. Le diagnostic de trouble dépressif majeur récurrent était mal étayé au regard des critères de l’ICD-10. Le Docteur C__________ notait qu’il avait l’impression que l’assuré voulait rentrer chez lui pour vivre avec sa famille dont il vivait séparé. Il a proposé de soumettre ce cas au SMR afin qu’il se prononce sur le diagnostic psychiatrique. Le SMR LEMAN a procédé à l’examen psychiatrique de l’assuré en novembre 2002. Dans son rapport du 10 décembre 2002, le Docteur E__________, psychiatre, mentionne qu’il n’a pas objectivé de signes florides de la lignée dépressive, ni de la ligne psychotique, ni de troubles de la personnalité morbide. L’assuré était détendu et très collaborant. Il était très démonstratif et verbalisait de nombreuses somatisations. Il a retenu le diagnostic de syndrome douloureux somatoforme persistant qu’il a qualifié d’intensité légère, sans comorbidité psychiatrique. Dans son appréciation du cas, il relève que l’examen a montré une discordance nette entre les plaintes de l’assuré et les constatations objectives. Il n’a pas noté de perturbation de l’environnement psycho-social et la capacité de travail exigible du point de vue psychiatrique est de 100 %. Par décision du 10 mars 2003, l’OCAI a rejeté la demande de prestations de l’assuré, au motif que son état de santé ne l’empêchait pas de travailler normalement comme maçon ou dans une autre activité. Représenté par Me Gilbert BRATSCHI, l’assuré a formé opposition en date du 10 avril 2003, concluant à l’octroi d’une rente entière d’invalidité. Dans ses écritures complémentaires du 31 octobre 2003, l’assuré a conclu à ce qu’une sur-expertise psychiatrique soit ordonnée. Il reproche à l’OCAI d’avoir donné la préférence à la deuxième expertise psychiatrique quant à la valeur probante de ses conclusions et produit un certificat du Docteur A__________ du 4 octobre 2003, aux termes duquel sa capacité de travail dans sa profession de maçon est nulle, de façon définitive. Par décision du 6 août 2004, l’OCAI a rejeté l’opposition de l’assuré, se référant aux conclusions du SMR LEMAN. L’assuré a interjeté recours en date du 14 septembre 2004. Il fait valoir que dans le cadre de l’expertise COMAI, le médecin psychiatre, le Docteur F__________, avait posé le diagnostic de trouble dépressif majeur récurrent, avec une capacité de travail résiduelle de 35 %, même dans une activité adaptée. Il s’insurge contre le fait que l’OCAI, après avoir ordonné un examen SMR, accorde la préférence au rapport du psychiatre dudit SMR. Il considère que les expertises sont loin d’être convaincantes et signale qu’une maladie du système de la mastication a été récemment diagnostiquée ; une expertise pourrait se révéler nécessaire afin d’examiner les problèmes liés aux vertiges et troubles de l’équilibre. Il a sollicité sa comparution personnelle et conclu en rappelant que le Docteur A__________ a confirmé dans son rapport que sa capacité de travail était nulle, de façon définitive. Dans sa réponse du 22 octobre 2004, l’OCAI relève que l’appréciation du Docteur F__________, psychiatre ayant examiné le recourant au COMAI, a été contestée lors de l’évaluation finale réunissant tous les experts. Les experts avaient noté des discordances, tant au plan somatique que psychiatrique, entre les plaintes de l’assuré et les éléments objectifs. Ils avaient aussi constaté que l’anamnèse psychiatrique était pauvre. Afin d’éclaircir la situation, la mise en œuvre d’un examen psychiatrique a été confié au SMR LEMAN ; le rapport du Docteur E__________ est sans ambiguïté. S’agissant des problèmes liés aux vertiges et troubles de l’équilibre, ils ont déjà été pris en compte dans l’expertise du COMAI. L’OCAI conclu au rejet du recours, dès lors que l’atteinte à la santé présentée par le recourant n’est pas invalidante. Le 9 décembre 2004, le recourant a persisté dans ses conclusions, rappelant qu’il ne voyait pas pourquoi l’OCAI a donné la préférence aux conclusions du SMR LEMAN. Par courrier du 11 janvier 2005, l’OCAI expose que les conclusions du Docteur F__________ n’étaient pas en adéquation avec les faits décrivant l’atteinte psychique du recourant, alors que le Docteur E__________ a tenu compte de tous les éléments du dossier. Ce document a été dûment communiqué au recourant.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Aussi le droit à une rente doit-il être examiné au regard de l’ancien droit pour la période jusqu’au 31 décembre 2002 et en fonction de la nouvelle réglementation après cette date (ATF 130 V 433 consid. 1 et les références). En revanche, en ce qui concerne la procédure, et à défaut de règles transitoires contraires, le nouveau droit s'applique sans réserve dès le jour de son entrée en vigueur (ATF 117 V 93 consid. 6b, 112 V 360 consid. 4a; RAMA 1998 KV 37 p. 316 consid. 3b). La LPGA s’applique donc au cas d’espèce. Interjeté dans les forme et délai prescrits par la loi, le recours est recevable (art. 56 et 60 LPGA).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 ATF 126 V 9 consid. 2b et les références ; consid. 4.3.1 de l’arrêt P. du 1 er mai 2003, I 780/02). Selon l’art. 28 al. 1 LAI, en sa teneur en vigueur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l’espèce, il résulte du dossier médical que suite à l’accident dont il avait été victime en 1989, le recourant avait subi une contusion à l’arrière de la tête. Aucune fracture n’avait été constatée et le status neurologique était normal. Il avait repris le travail à temps complet dès le 19 avril 1989 jusqu’au 28 septembre 1998, date à laquelle il a cessé toute activité. Le Docteur A__________, médecin-traitant, indique dans son rapport du 28 avril 2000, que le recourant est en traitement depuis le 31 mars 1998, pour une cervicarthrose C3-C4, un syndrome cervico-brachial bilatéral dominant à droite et un état dépressif réactionnel chez un malade chronique dont la famille réside au Portugal. Le recourant est en incapacité de travail à 100 % depuis le 28 septembre 1998 et ne peut exercer le métier de maçon. Il estime que l’octroi d’une rente est justifié. Le recourant a été examiné au COMAI de Lausanne, dans le cadre d’une expertise pluridisciplinaire. Les examens radiologiques ont confirmé une discarthrose C3-C4,. L’examen neurologique n’a pas révélé de déficit neurologique, de sorte que sur ce plan, le neurologue a conclu à une capacité de travail complète. Quant au rhumatologue, il a rapporté que l’assuré présentait des cervico-brachialgies et des lombalgies chroniques dans un contexte d’une cervicarthrose minime, sans signes radiculaire irritatifs ou déficitaires, associés à une hypercontracture de la ceinture scapulaire et pelvienne, ainsi qu’une fibromyalgie. Pour le rhumatologue, c’est surtout ce dernier point qui est probablement un facteur contribuant à l’exacerbation de la symptomatologie douloureuse, qui se traduit par un comportement maladif inadéquat. Le recourant a été examiné par le Docteur F__________, psychiatre, qui a constaté que le patient était collaborant et ouvert. Il a décelé une hypocondrie, une anhédonie, de la tristesse, des troubles importants du sommeil causés par des douleurs, une perte d’appétit et une isolation progressive. Le patient présentait une baisse de l’estime de soi, mais aucune idéation suicidaire. L’expert n’a objectivé aucun symptôme floride de la lignée psychotique. Il a posé les diagnostics de trouble dépressif majeur récurrent et trouble somatoforme douloureux. La capacité de travail était évaluée à 35 %, avec une possibilité de recouvrir une capacité de 50 % avec un traitement adéquat de l’état dépressif. Dans l’appréciation du cas, les médecins ont noté que le recourant était au bénéfice d’un traitement antidépresseur depuis mars 1999, mais que le seul suivi psychiatrique spécialisé, demandé par le Docteur G__________, n’avait eu une durée que de 3-4 consultations. Ils ont relevé que sur le plan somatique, la seule lésion organique objectivée était la cervicarthrose C3-C4, mais les lésions dégénératives au niveau de la colonne cervicales devaient être qualifiées comme modérées chez un patient de plus de 50 ans. Des discordances ont d’autre part été relevées entre les plaintes du patient et son comportement, dès lors qu’il n’adoptait aucune position antalgique, ne se levait jamais et déclarait pouvoir conduire son véhicule pour se rendre au Portugal. Sur le plan rhumatologique, la capacité de travail a été évaluée à 70 % dans l’activité de maçon et 100 % dans une activité plus légère. Sur le plan psychiatrique, le collège des experts a également relevé des discordances : lors de l’entretien avec l’expert principal, le patient avait clairement évoqué le désir de rentrer au Portugal auprès de sa famille, alors qu’au consultant psychiatre, il a déclaré vouloir rester en Suisse, car il se sentirait mieux soigné et encadré du point de vue médical. Enfin, devant l’expert principal, le recourant a évoqué surtout une variation de sa thymie, ce qui contrastait avec le diagnostic de trouble dépressif majeur récurrent. D’autre part, l’anamnèse psychiatrique était pauvre et les extraits du dossier ne font état de troubles psychiques, pour la première fois, qu’en mars 1999. Lors du colloque de synthèse multidisciplinaire, les médecins du COMAI ont exprimé leurs doutes quant au retentissement réel au niveau de la capacité de travail des troubles psychiques et ont déclaré qu’ils ne partageaient pas l’avis de leurs consultants en psychiatrie quant à l’importance de la diminution de la capacité de travail pour des raisons psychiatriques strictes. L’appréciation globale du COMAI, selon le modèle bio-psychosocial, concluait à une capacité de travail résiduelle en tant que maçon de 60 % depuis le mois de septembre 1998. Une prise en charge psychiatrique appropriée était susceptible de favoriser une amélioration de la capacité de travail. Au vu de ce désaccord, l’intimé a requis un l’avis du SMR LEMAN. Le recourant a été examiné par le Docteur H__________, psychiatre, en date du 25 novembre 2002 ; l’expert a posé le diagnostic de syndrome douloureux somatoforme persistant, d’intensité légère, sans comorbidité psychiatrique. La capacité de travail est en conséquence de 100 % du point de vue psychiatrique. Le recourant conteste la valeur probante du rapport du SMR LEMAN, considérant qu’il n’y a aucune raison de privilégier ce dernier par rapport à celui du COMAI.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l’occurrence, le Tribunal de céans constate que du point de vue somatique, les médecins du COMAI ont conclu à une capacité de travail totale du point de vue neurologique dans l’activité de maçon, et, du point de vue rhumatologique, à 70 % dans l’activité de maçon ou 100 % dans une activité plus légère. Les médecins ont en revanche clairement manifesté leur désaccord avec leur consultant en psychiatrie, tant au regard du diagnostic que celui de sa répercussion sur la capacité de travail du recourant. Leur appréciation globale retient une capacité de travail de 60 % dans l’activité de maçon, avec possibilité d’amélioration à 70 %. Enfin, à la question de l’OCAI quant au rôle que peut jouer le souhait du recourant de rejoindre sa famille au Portugal, les experts ont déclaré qu’il n’était pas possible d’exclure de façon catégorique que ce facteur ait pu jouer un rôle sur l’évolution et les plaintes. En revanche, ils pensaient que la complexité de la situation de l’assuré ne pouvait pas être réduite à une interprétation trop restrictive en ce sens, dès lors que le recourant vivait éloigné de sa famille depuis 1988. Face au désaccord clairement exprimé par les médecins somaticiens du COMAI quant aux conclusions de leur consultant en psychiatrie propre à mettre en doute la valeur probante de ces dernières, l’intimé était fondé à requérir un autre avis psychiatrique. Or, selon les constatations du Docteur E__________, le recourant ne souffre d’aucune pathologie psychiatrique. Le recourant conteste ce rapport, considérant qu’il n’y a pas lieu le privilégier. Tel n’est pas l’avis du Tribunal de céans. En effet, le désaccord manifeste des médecins du COMAI ne permet pas d’attribuer une pleine valeur probante aux conclusions de leur consultant en psychiatrie. En analysant les deux rapports des psychiatres, il y a lieu de relever que les constatations objectives du psychiatre du COMAI et celles du SMR LEMAN se rejoignent sur bien des points ; le patient est décrit comme détendu, collaborant et orienté aux trois, voire quatre modes, il n’a aucune baisse de la vigilance et répond de façon précise aux questions. Il présente des troubles du sommeil importants selon l’expert du COMAI, deux fois par semaine environ selon le médecin du SMR LEMAN. Le patient ne présente aucune idée suicidaire. L’anamnèse ne révèle aucune pathologie psychiatrique ayant nécessité une prise en charge hospitalière ou ambulatoire, mis à part la prescription d’antidépresseurs par son médecin-traitant pendant six mois. Les psychiatres mentionnent tous deux une symptomatologie douloureuse importante verbalisée par le patient. En revanche, le médecin du COMAI relève que le patient a décrit une vie plutôt solitaire, alors que le psychiatre du COMAI n’a pas noté de perturbations de l’environnement pycho-social. Le diagnostic de trouble somatoforme douloureux a été retenu par les deux psychiatres.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Selon la jurisprudence,  la tâche de l’expert médical, lorsque celui-ci doit se prononcer sur le caractère invalidant de troubles somatoformes, consiste à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 Störungen : Gerichte und (psychiatrische) Gutachten, RSAS 1999, p. 1 ss et 105 ss ; VSI 2000 p. 154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 constitution psychique, l'assuré peut exercer une activité sur le marché du travail, malgré les douleurs qu'il ressent (ATF 130 V 352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 En l’espèce, s’agissant du diagnostic de trouble dépressif majeur récurrent posé par le psychiatre du COMAI, le Tribunal de céans observe qu’il n’apparaît pas suffisamment documenté ni justifié sur la base des constatations objectives et de l’anamnèse. Ce diagnostic a par ailleurs été sérieusement mis en doute par les médecins cliniciens du COMAI. Le psychiatre du SMR LEMAN rappelle que le dossier médical du recourant ne fait état d’aucune pathologie psychiatrique antérieure et que le traitement médicamenteux a été stoppé il y a six mois. Au vu de ce qui précède, la valeur probante des conclusions du psychiatre du COMAI ne peut être dès lors admise. En conséquence, le Tribunal de céans se référera aux conclusions du psychiatre du SMR LEMAN, dont le rapport remplit tous les réquisits exigés par la jurisprudence permettant de lui attribuer pleine valeur probante. Il convient ainsi de retenir que le recourant souffre d’un trouble somatoforme douloureux sans comorbidité psychiatrique. C’est en vain que le recourant invoque l’avis du Dr A__________, médecin-traitant, étant rappelé que selon la jurisprudence du TFA, à la différence de l’expert, le médecin traitant a un mandat de soins. Il est en effet dans une position particulière, en raison de la confiance réciproque qui régit la relation patient/médecin ;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Le Tribunal de céans relève que le médecin-traitant ne fait pas état d’autres plaintes ou pathologies et que l’accident dont le recourant aurait été victime en 2002 (coup du lapin) n’est étayé par aucun document. Au vu de ce qui précède, force est de constater que le trouble somatoforme douloureux dont est atteint le recourant n’est pas invalidant. L’OCAI était ainsi fondé à nier tout droit à des prestations. Mal fondé, le recours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