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A/1902/2015 vom 21. Dezember 2015</w:t>
      </w:r>
    </w:p>
    <w:p>
      <w:r>
        <w:t>GE Cour de justice, 2015-12-21, FR</w:t>
      </w:r>
    </w:p>
    <w:p>
      <w:r>
        <w:rPr>
          <w:b/>
        </w:rPr>
        <w:t xml:space="preserve">Quelle: </w:t>
      </w:r>
      <w:r>
        <w:t>https://mcp.opencaselaw.ch/entscheid/ge_gerichte_A_1902_2015</w:t>
      </w:r>
    </w:p>
    <w:p>
      <w:r>
        <w:t>FR: GE_GERICHTE A/1902/2015 du 21 décembre 2015</w:t>
      </w:r>
    </w:p>
    <w:p>
      <w:r>
        <w:t>IT: GE_GERICHTE A/1902/2015 del 21 dicembre 2015</w:t>
      </w:r>
    </w:p>
    <w:p>
      <w:pPr>
        <w:pStyle w:val="Heading2"/>
      </w:pPr>
      <w:r>
        <w:t>Erwägungen</w:t>
      </w:r>
    </w:p>
    <w:p>
      <w:r>
        <w:rPr>
          <w:b/>
        </w:rPr>
        <w:t>E. 10</w:t>
      </w:r>
    </w:p>
    <w:p>
      <w:r>
        <w:t>ème Chambre En la cause A______ SA, sise à GENÈVE recourante contre CAISSE CANTONALE GENEVOISE DE COMPENSATION, sise rue des Gares 12, GENÈVE intimée EN FAIT 1.        Par décision du 24 mai 2015, la caisse cantonale genevoise de compensation (ci-après la caisse ou l’intimée) a fixé le montant de la taxe de formation professionnelle 2015 de la société A______ SA (ci-après la société ou la recourante) à CHF 174.-. Ce montant est calculé à raison de CHF 29.- par salarié, sur l’effectif de six salariés occupés en décembre 2013. ![endif]&gt;![if&gt; 2.        Par courrier du 2 juin 2015, adressé au service employeurs de l'office cantonal des assurances sociales, avec copie à la chambre des assurances sociales de la Cour de justice, la société recourt contre cette décision, relevant qu'à partir du 1 er janvier 2014 elle n'avait plus que trois employés à 100 %, une employée à 60 % et un membre du conseil d'administration qui n'est pas employé. La décision entreprise n'était pas annexée à la copie de la lettre adressée à la chambre de céans.![endif]&gt;![if&gt; 3.        Par courrier du 4 juin 2015, le service juridique de la caisse a transmis à la chambre de céans l'original de la correspondance susmentionnée, comme objet de sa compétence. Il a indiqué que ce courrier faisait suite à la décision du 24 mai 2015, dont il a annexé une copie.![endif]&gt;![if&gt; 4.        Dans sa réponse du 2 juillet 2015, la caisse intimée rappelle le but de la loi et les principes à la base du calcul de la taxe de formation professionnelle, précisant que c’est l’effectif engagé en décembre 2013 qui est déterminant pour le calcul de la cotisation 2015 et que le taux d'occupation n'entre pas en ligne de compte dans la fixation de la cotisation. Le fait il y ait eu diminution du nombre de salariés à partir du 1 er janvier 2014 n'a aucune influence sur la décision querellée.![endif]&gt;![if&gt; Dans le cas d'espèce, le Conseil d'État avait fixé la cotisation annuelle 2015 lors de sa séance du 3 septembre 2014, à CHF 29.- par travailleur ou travailleuse. Après nouvel examen de l’attestation de salaires pour la période 2013, elle confirme devoir prendre en considération six salariés afin de fixer la cotisation due par la recourante. La caisse conclut au rejet du recours. 5.        Par courrier du 7 juillet 2015, la chambre de céans a communiqué copie des écritures de l'intimée à la recourante en l'invitant à lui faire part de ses remarques éventuelles et préciser si, au vu de la réponse de l'intimée, elle maintenait ou au contraire retirait son recours, ceci dans un délai échéant au 22 juillet 2015. La recourante ne s'est pas manifestée.![endif]&gt;![if&gt; 6.        La cause a donc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pour l’année 2015. ![endif]&gt;![if&gt; 4.        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![endif]&gt;![if&gt; 5.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LFP).![endif]&gt;![if&gt; 6.        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LFP).![endif]&gt;![if&gt; 7.        La cotisation annuelle 2015 a été fixée par le Conseil d’État dans sa séance du 3 septembre 2014, à CHF 29.- par travailleur ou travailleuse. ![endif]&gt;![if&gt; 8.        En l’occurrence, il n’est pas contesté que la recourante est affiliée à une caisse d’allocations familiales et tenue de payer des contributions, de sorte qu’elle est astreinte à la cotisation de la LFP. ![endif]&gt;![if&gt; 9.        Le montant de la cotisation 2015 ayant été fixée par le Conseil d’État en septembre 2014, c’est par conséquent l’effectif des salariés de la recourante en décembre 2013 qui est déterminant, s’agissant du nombre de salariés à prendre en compte.![endif]&gt;![if&gt; 10.    La chambre de céans ne peut que se référer aux pièces du dossier et à la réponse circonstanciée de l’intimée et constater que la recourante comptait bien six salariés en décembre 2013, ce qu’elle ne conteste au demeurant pas. C’est dès lors à juste titre que l’intimée lui a réclamé le paiement de CHF 174.- à titre de cotisation LFP pour l’année 2015. Les arguments soulevés par la recourante quant au nombre et à la durée d'occupation des salariés dès le 1 er janvier 2014 sont à cet égard totalement irrelevants.![endif]&gt;![if&gt; 11.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