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A/1900/2025 vom 20. Oktober 2025</w:t>
      </w:r>
    </w:p>
    <w:p>
      <w:r>
        <w:t>GE Cour de justice, 2025-10-20, FR</w:t>
      </w:r>
    </w:p>
    <w:p>
      <w:r>
        <w:rPr>
          <w:b/>
        </w:rPr>
        <w:t xml:space="preserve">Quelle: </w:t>
      </w:r>
      <w:r>
        <w:t>https://mcp.opencaselaw.ch/entscheid/ge_gerichte_A_1900_2025</w:t>
      </w:r>
    </w:p>
    <w:p>
      <w:r>
        <w:t>FR: GE_GERICHTE A/1900/2025 du 20 octobre 2025</w:t>
      </w:r>
    </w:p>
    <w:p>
      <w:r>
        <w:t>IT: GE_GERICHTE A/1900/2025 del 20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En particulier, contrairement à ce que semble soutenir l’intimée, il est suffisamment motivé dès lors qu’il contient un exposé des faits et des motifs ainsi que des conclusions claires ( cf. arrêt du Tribunal fédéral 9C_761/2015 du 3 mai 2016 consid. 4).</w:t>
      </w:r>
    </w:p>
    <w:p>
      <w:r>
        <w:rPr>
          <w:b/>
        </w:rPr>
        <w:t>E. 2</w:t>
      </w:r>
    </w:p>
    <w:p>
      <w:r>
        <w:t>Le litige porte sur le droit du recourant aux prestations de l’assurance-accidents au‑delà du 8 novembre 2024.</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142 V 219 consid. 4.3.1). Les prestations dues en raison d’un accident couvrent le droit au traitement médical (art. 10 LAA), le droit à une indemnité journalière (art. 16 et 17 LAA) en cas d’incapacité de travail, puis dès la stabilisation de l’état de santé le droit à une rente d'invalidité (art. 18 ss LAA) ainsi que le droit à une indemnité pour atteinte à l'intégrité (art. 24 et 25 LAA).</w:t>
      </w:r>
    </w:p>
    <w:p>
      <w:r>
        <w:rPr>
          <w:b/>
        </w:rPr>
        <w:t>E. 4</w:t>
      </w:r>
    </w:p>
    <w:p>
      <w:r>
        <w:t>Le droit à des prestations de l’assurance-accidents suppose notamment qu'il y ait un lien de causalité naturelle et adéquate entre l'évènement assuré d'une part et l'atteinte à la santé, le traitement médical et l'incapacité de travail de la personne assurée d'autre part (arrêt du Tribunal fédéral 8C_459/2019 du 11 septembre 2020 consid. 5.2.1).</w:t>
      </w:r>
    </w:p>
    <w:p>
      <w:r>
        <w:rPr>
          <w:b/>
        </w:rPr>
        <w:t>E. 4.1</w:t>
      </w:r>
    </w:p>
    <w:p>
      <w:r>
        <w:t>L'exigence de la causalité naturelle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 il faut et il suffit que l'évènement dommageable, associé éventuellement à d'autres facteurs, ait provoqué l'atteinte à la santé physique ou psychique de l'assuré, c'est-à-dire qu'il se présente comme la condition sine qua non de celle-ci (ATF 142 V 435 consid. 1).</w:t>
      </w:r>
    </w:p>
    <w:p>
      <w:r>
        <w:rPr>
          <w:b/>
        </w:rPr>
        <w:t>E. 4.2</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En revanche, il en va autrement lorsque des symptômes, bien qu'apparaissant en relation de causalité naturelle avec un événement accidentel, ne sont pas objectivables du point de vue organique (arrêt du Tribunal fédéral 8C_890/2012 du 15 novembre 2013 consid. 3.5). La notion de séquelles organiques objectivables d’accident – en tant que critère de distinction nécessitant l’examen d’une causalité adéquate – est définie par le Tribunal fédéral comme suit :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cf . également arrêt du Tribunal fédéral 8C_614/2020 du 7 septembre 2021 consid. 2.2).</w:t>
      </w:r>
    </w:p>
    <w:p>
      <w:r>
        <w:rPr>
          <w:b/>
        </w:rPr>
        <w:t>E. 4.3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(arrêt du Tribunal fédéral 8C_826/2019 du 13 mai 2020 consid. 3.3). Dans un tel cas, il y a lieu d'examiner le caractère adéquat du lien de causalité en se fondant sur le déroulement de l'événement accidentel, compte tenu, selon les circonstances, de certains critères en relation avec cet événement (arrêt du Tribunal fédéral 8C_727/2016 du 20 octobre 2017 consid. 9.3 et les références).</w:t>
      </w:r>
    </w:p>
    <w:p>
      <w:r>
        <w:rPr>
          <w:b/>
        </w:rPr>
        <w:t>E. 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À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selon le critère de la vraisemblance prépondérante, usuel en matière de preuve dans le domaine des assurances sociales, étant précisé que le fardeau de la preuve de la disparition du lien de causalité appartient à la partie qui invoque la suppression du droit (ATF 146 V 51 consid. 5.1 et les références ; arrêt du Tribunal fédéral 8C_606/2021 du 5 juillet 2022 consid. 3.2). Déterminer l’avènement du statu quo sine d'une manière abstraite et théorique en se référant à l'évolution prévisible de l'atteinte à la santé à défaut d'autres éléments objectifs ne suffit pas pour établir au degré de la vraisemblance prépondérante l'extinction du lien de causalité entre une atteinte et un accident (arrêt du Tribunal fédéral 8C_481/2019 du 7 mai 2020 consid. 3.3, cf . pour un cas d’application arrêt du Tribunal fédéral 8C_473/2017 du 21 février 2018 consid. 5).</w:t>
      </w:r>
    </w:p>
    <w:p>
      <w:r>
        <w:rPr>
          <w:b/>
        </w:rPr>
        <w:t>E. 6</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(ATF 134 V 231 consid. 5.1). Au demeurant, l'élément déterminant pour la valeur probante n'est ni l'origine du moyen de preuve ni sa désignation comme rapport ou comme expertise, mais bel et bien son contenu (arrêt du Tribunal fédéral 8C_510/2020 du 15 avril 2021 consid. 2.4).</w:t>
      </w:r>
    </w:p>
    <w:p>
      <w:r>
        <w:rPr>
          <w:b/>
        </w:rPr>
        <w:t>E. 7</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w:t>
      </w:r>
    </w:p>
    <w:p>
      <w:r>
        <w:rPr>
          <w:b/>
        </w:rPr>
        <w:t>E. 8</w:t>
      </w:r>
    </w:p>
    <w:p>
      <w:r>
        <w:t>En l’espèce, l’intimée a fondé sa décision sur l’appréciation du Dr E______ et sur les déterminations du Dr D______. Au sujet de ces dernières, on notera qu’elles sont pour le moins sommaires et ne sont guère motivées, de sorte qu’on ne saurait leur reconnaître la moindre valeur probante. En revanche, en ce qui concerne le rapport du Dr E______, il contient une anamnèse et un résumé du dossier et relate les plaintes du recourant. Cet expert a également procédé à un examen clinique dont il a consigné les résultats. Sur le fond, il a reconnu que les troubles du recourant étaient en lien de causalité naturelle avec l’accident subi, et que l’état de santé n’était pas stabilisé au moment de son examen, mais que l’accident n’aurait plus d’effet sur l’état du recourant à partir du 8 novembre 2024. Il a également émis des conclusions quant à la reprise du travail dans les mois suivant son examen. S’agissant de ces conclusions, elles paraissent sujettes à caution, dès lors qu’elles ne sont guère motivées, et semblent résulter d’un accord avec le recourant. Or, convenir avec un assuré d’une reprise du travail dans le futur, sans expliquer les fondements médicaux sur lesquels l’expert base son pronostic de l’évolution de la capacité de travail, n’est pas suffisant en termes de motivation. On ne connaît pas les éléments qui ont permis à l’expert de fixer le statu quo ante de manière pronostique à six mois de l’accident, à défaut d’explications sur ce point. Il sied ici de rappeler que s’il devait s’agir là uniquement d’une hypothèse fondée sur le délai de décours usuel d’une telle atteinte – ce qu’on ignore en l’absence de toute justification médicale – cela ne suffirait pas à dater la survenance du statu quo à satisfaction de droit, conformément à la jurisprudence citée. Il est vrai que la Dre C______ évoquait elle-même dans son rapport du 26 juin 2024 que les troubles que présentait le recourant disparaissent généralement en quelques mois, mais il s’agit là également d’une indication théorique et abstraite fondée sur des généralités médicales, et non d’une appréciation du cas concret du recourant. Celui-ci a versé au dossier des attestations d’incapacité de travail partielle établis par le Dr G______ portant sur la période postérieure au 8 novembre 2024. De manière générale, de simples certificats d’arrêt de travail ne sont certes pas suffisants pour remettre en cause les conclusions d’une expertise revêtant valeur probante. Dans le présent cas toutefois, dès lors que les conclusions du Dr E______ ne peuvent se voir reconnaître valeur probante en tant qu’elles portent sur la date de survenance du statu quo ante , ces certificats – établis en temps réel – ne peuvent être simplement écartés, et tendent à infirmer le pronostic de l’expert neurologue. Compte tenu de ce qui précède, la chambre de céans ne dispose pas de renseignements suffisants pour déterminer si c’est à bon droit que l’intimée a considéré que le statu quo ante était atteint au 8 novembre 2024 et qu’elle a mis un terme aux prestations à cette date.</w:t>
      </w:r>
    </w:p>
    <w:p>
      <w:r>
        <w:rPr>
          <w:b/>
        </w:rPr>
        <w:t>E. 9</w:t>
      </w:r>
    </w:p>
    <w:p>
      <w:r>
        <w:t>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210 consid. 4.1.3 et 4.4.1.4). Tel est bien le cas en l’espèce, l’intimée s’étant contentée du rapport du Dr E______ sans vérifier si les prévisions de cet expert se sont vérifiées. Partant, il convient de renvoyer la cause à l’intimée, à charge pour celle-ci de compléter l’instruction sur l’évolution de l’état de santé du recourant après l’examen du Dr E______, en sollicitant des rapports détaillés des médecins traitants, et en requérant au besoin un complément d’expertise de cet expert ou d’un autre spécialiste en neurologie. Ce complément pourra être établi sur dossier si l’instruction complémentaire devait confirmer que les troubles du recourant se sont amendés dans l’intervalle. Il appartiendra ensuite à l’intimée de statuer une nouvelle fois sur le droit aux prestations après le 8 novembre 2024, cas échéant en l’examinant sous l’angle de la causalité adéquate.</w:t>
      </w:r>
    </w:p>
    <w:p>
      <w:r>
        <w:rPr>
          <w:b/>
        </w:rPr>
        <w:t>E. 10</w:t>
      </w:r>
    </w:p>
    <w:p>
      <w:r>
        <w:t>Le recours est partiellement admis. Le recourant, dont le recours a été interjeté avec le concours d’un mandataire professionnel, a droit à des dépens, qui seront fixés à CHF 800.-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