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A/1899/2006 vom 20. September 2006</w:t>
      </w:r>
    </w:p>
    <w:p>
      <w:r>
        <w:t>GE Cour de justice, 2006-09-20, FR</w:t>
      </w:r>
    </w:p>
    <w:p>
      <w:r>
        <w:rPr>
          <w:b/>
        </w:rPr>
        <w:t xml:space="preserve">Quelle: </w:t>
      </w:r>
      <w:r>
        <w:t>https://mcp.opencaselaw.ch/entscheid/ge_gerichte_A_1899_2006</w:t>
      </w:r>
    </w:p>
    <w:p>
      <w:r>
        <w:t>FR: GE_GERICHTE A/1899/2006 du 20 septembre 2006</w:t>
      </w:r>
    </w:p>
    <w:p>
      <w:r>
        <w:t>IT: GE_GERICHTE A/1899/2006 del 20 settembre 2006</w:t>
      </w:r>
    </w:p>
    <w:p>
      <w:pPr>
        <w:pStyle w:val="Heading2"/>
      </w:pPr>
      <w:r>
        <w:t>Volltext</w:t>
      </w:r>
    </w:p>
    <w:p>
      <w:r>
        <w:t>Genève Cour de justice (Cour de droit public) Chambre des assurances sociales 20.09.2006 A/1899/2006</w:t>
      </w:r>
    </w:p>
    <w:p>
      <w:r>
        <w:t>A/1899/2006 ATAS/821/2006 du 20.09.2006 ( AI ) , REJETE En fait En droit RÉPUBLIQUE ET CANTON DE GENÈVE POUVOIR JUDICIAIRE A/1899/2006 ATAS/821/2006 ARRET DU TRIBUNAL CANTONAL DES ASSURANCES SOCIALES Chambre 4 du 20 septembre 2006 En la cause Madame G__________, représentée par CAP PROTECTION JURIDIQUE recourante contre OFFICE CANTONAL DE L'ASSURANCE INVALIDITE, rue de Lyon 97, case postale 425, 1211 GENEVE 13 intimé EN FAIT Madame G__________, née le 27 mars 1961, a effectué sa scolarité obligatoire au Portugal, jusqu'à l'âge de 11 ans. Après avoir aidé sa mère à la maison, cette dernière l'a envoyée travailler dans une entreprise de confection. L'intéressée est venue en Suisse une première fois en 1980, comme jeune fille au pair. En 1982, elle s'installe définitivement en Suisse. Elle travaille en qualité de vendeuse à l'Uniprix pendant deux ans. Après la naissance de ses enfants, en 1987 et 1989, elle n'a plus exercé d'activité lucrative. Suite à une chute à domicile en 1996, l'intéressée a souffert de cervicalgies post traumatiques. Depuis 1998, elle présente des lombalgies, puis, dès 1999, l'intéressée se plaint de paresthésies dans les mains. Le 21 novembre 2001, l'intéressée a déposé une demande de prestations auprès de l'Office cantonal de l'assurance-invalidité (ci-après OCAI), sollicitant l'octroi d'un reclassement dans une nouvelle profession, d'un placement ainsi que d'une rente. Répondant au questionnaire servant à déterminer le statut, l'intéressée a déclaré qu'en bonne santé, elle aurait travaillé comme vendeuse à plein temps, depuis novembre 2000, pour des raisons financières. Inscrite au chômage dès le 1 er novembre 2000, elle a été en incapacité de travail à 50 % du 1 er juin 2001 au 13 août 2001, date à laquelle elle a été en arrêt de travail à 100 %. Elle a bénéficié de prestations en cas de maladie. Dans un rapport adressé à l'OCAI en date du 12 mars 2002, le Dr A__________, médecin traitant, a posé les diagnostics de cervicalgies, sciatalgie à bascule et tunnel carpien bilatéral. L'incapacité de travail est de 100 % depuis le 12 janvier 2001. Il a joint copie du rapport établi par le Dr B__________, spécialiste FMH en médecine interne, médecin conseil de l'assurance-chômage, selon lequel l'incapacité de travail est totale et définitive, ainsi que de la Dresse C__________, spécialiste FMH en neurologie. Selon cette dernière, l'anamnèse et l'examen clinique et neurologique de la patiente orientent vers des cervicalgies basses prédominant à gauche, associées à des douleurs violentes des poignets et à des épisodes d'endormissement des mains, également prédominant à gauche. L'examen neurologique ne montre pas de signes nets d'atteinte radiculaire, mais les réflexes, très vifs, font suspecter une atteinte centrale. L'IRM cervicale réalisée en novembre 2000 est toutefois tout à fait rassurante, mettant en évidence une très discrète hernie discale C5-C6 médiane sans compression médullaire. L'examen électroneuromyographique est quasiment normal, hormis un discret ralentissement de la vitesse de conduction sensitive du nerf médian des deux côtés. S'agissant des capacités professionnelles, le Dr A__________ a indiqué que l'intéressée devait privilégier l'alternance des positions assise/debout, qu'elle devait éviter notamment les positions à genoux, accroupie, l'inclinaison du buste, les ports de charges et les mouvements répétitifs. La motivation pour la reprise d'un travail ou d'un reclassement professionnel est faible et l'absentéisme prévisible dû à l'état de santé important. L'OCAI a effectué une enquête à domicile le 28 octobre 2003. L'assurée a expliqué que son époux était au bénéfice d'une demi-rente de l'assurance-invalidité depuis 1997 et que la famille est aidée par l'Hospice général. Elle a voulu reprendre une activité de vendeuse à plein temps, en novembre 2000, mais son état de santé l'en a empêchée. Elle a bénéficié des prestations cantonales de chômage en cas de maladie jusqu'en avril 2002. L'OCAI a mandaté le Dr Antonello D'ORO, spécialiste FMH en rhumatologie, pour expertise. Dans son rapport du 10 mars 2004, l'expert a posé les diagnostics de cervicalgies basses (discopathies C5-C6 avec discrète hernie discale médiane sans effet compressif), lombosciatalgies (discopathies modérées L3-L4 et L4-L5, petite hernie discale L5-S1 médiane et paramédiane droit, syndrome du tunnel carpien bilatéral à prédominance gauche, status post ménisectomie interne partielle du genou gauche avec persistance d'une lésion grade II et gonarthrose débutante du genou droit. Les plaintes subjectives décrites par la patiente au niveau de la région cervicale et lombaire sont assez importantes alors que sur le plan clinique, les limitations restent plutôt modérées et avec une corrélation radio-clinique assez faible. Sur le plan physique, les limitations concernent la position debout et assise prolongée (jusqu'à 1 h), le port de charges lourdes (plus de 15 kg), et la position penchée en avant prolongée. Les douleurs cervicales gênent en outre une activité avec les bras au-dessus de l'horizontale. Quant aux douleurs dans les poignets et les doigts, elles entraînent une diminution de la force de préhension et gênent les travaux fins. Sur le plan psychique, l'expert relève une thymie plutôt dépressive, avec un état de fatigue permanent. Les troubles de la patiente sont présents de façon significative depuis au moins 1999. L'expert estime la capacité de travail résiduelle dans l'activité de vendeuse à 50 %. Dans une activité adaptée respectant les limitations, lui permettant de faire des pauses en cas de douleur, la capacité de travail pourrait être estimée à 80 %. Par décision du 23 septembre 2004, l'OCAI a rejeté la demande de prestations de l'intéressée, au motif qu'elle présentait une capacité de travail de 80 % dans une activité adaptée. Son degré d'invalidité, calculé sur la base de l'Enquête suisse sur la structure des salaires, s'établissait à 26 % et était insuffisant pour ouvrir droit à une rente. Quant aux mesures professionnelles, elles n'étaient pas envisageables, dès lors que l'intéressée exprimait clairement n'être pas en mesure de s'y soumettre. Par courrier du 12 octobre 2004, le Dr D__________ a formé opposition, invoquant un fait nouveau, à savoir l'apparition depuis quelques mois d'un état dépressif pour lequel elle est traitée par le Dr E_________, spécialiste FMH en psychiatrie et psychothérapie. L’assurée a également formé opposition par courrier du 3 décembre 2004. A la demande de l'OCAI, le Dr E_________ a établi un rapport en date du 17 décembre 2004 aux termes duquel la patiente présentait une fibromyalgie depuis fin 2003, cervico-brachialgies chroniques depuis 1996, un épisode dépressif sévère sans symptômes psychotiques depuis début 2004, ainsi qu'une agoraphobie avec trouble panique depuis 2002, affections pour lesquelles le taux d'incapacité de travail est de 100 %. Le médecin indique que la patiente suit un traitement sous forme d'antidépresseurs et de somnifère, ainsi qu'une thérapie cognitive et comportementale. Après avoir requis l'avis du Service médical régional AI (ci-après SMR), l'OCAI a décidé de procéder à une expertise psychiatrique et a mandaté le Dr F_________, spécialiste FMH en psychiatrie et psychothérapie, à cet effet. Dans son rapport du 20 mars 2006, l'expert relève qu'à l'examen clinique, l'assurée est bien orientée dans le temps, l'espace et la situation. Il n'y a pas de symptômes de la lignée psychotique. Concernant la lignée dépressive, l'expert a noté une discordance entre ce qui est dit et ce qui est perçu par lui; il conclut que l'humeur est légèrement dépressive et l'assurée légèrement triste. Si elle a des idées pessimistes, il n'y a pas d'idées de ruine. Il a relevé des signes d'anxiété, avec des peurs, des sensations d'angoisse diffuse et d'autres signes de somatisations. Sur la base de l'échelle de l'anxiété et de la dépression de Hamilton, l'expert a retenu un état dépressif léger qui correspond avec l'impression clinique. Aucun diagnostic ayant une répercussion sur la capacité de travail n'a été retenu ; en revanche, au titre des diagnostics sans répercussion sur la capacité de travail, l'expert a relevé un syndrome douloureux somatoforme persistant, une majoration des symptômes physiques pour des raisons psychologiques et une personnalité anxieuse. Il explique que l'état dépressif est une réaction à l'apparition des douleurs, de sorte qu'il peut être inclus dans l'évolution naturelle d'un trouble somatoforme, car la plainte essentielle concerne une douleur intense et persistante. S'agissant des limitations, du point de vue psychique, il lui est difficile d'objectiver les dires de l'assurée qui dit ne pouvoir rien faire. Quant au trouble somatoforme dont souffre l'assurée, il ne semble pas revêtir une telle intensité pour qu'elle ne puisse pas travailler et l'incapacité de travail est au maximum de 20 %. Dans une note du 11 avril 2006, le SMR relève, au vu des conclusions de l'expertise psychiatrique, que seules les limitations fonctionnelles somatiques doivent être prises en compte. Par décision du 24 avril 2006, l'OCAI a rejeté l'opposition de l'assurée, au motif que le trouble somatoforme douloureux ne revêt pas le degré de gravité requis par la jurisprudence pour être invalidant, de sorte que seules les limitations fonctionnelles somatiques doivent être prises en compte. Représentée par CAP Compagnie d'Assurance de Protection Juridique SA, l'assurée interjette recours le 26 mai 2006. Elle se réfère aux estimations des Drs D__________, B__________ et E_________ selon lesquelles elle est totalement incapable d'exercer une activité et allègue qu'elle n'est pas en mesure d'effectuer les travaux ménagers. Une capacité résiduelle de travail de 80 % lui semble utopique, au vu de ses nombreuses limitations physiques. Elle reproche à l'OCAI de n'avoir pas tenu compte des conclusions du Dr E_________. Dans sa réponse du 22 juin 2006, l'OCAI se réfère aux conclusions de l'expert psychiatre et conclut au rejet du recours. Les écritures de l'OCAI ont été communiquées à la recourante en date du 22 juin 2006 et le dossier tenu à sa disposition pour consultation.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Les règles de procédure quant à elles s'appliquent sans réserve dès le jour de son entrée en vigueur (ATF 117 V 93 consid. 6b, 112 V 360 consid. 4a; RAMA 1998 KV 37 p. 316 consid. 3b). Interjeté dans les forme et délai prescrits par la loi, le recours est recevable (art. 56 et 60 LPGA). Le litige porte sur la question de la détermination du degré d'invalidité de la recourante et, partant, de son droit aux prestations de l'assurance-invalidité.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L’invalidité est réputée survenue dès qu’elle est, par sa nature et sa gravité, propre à ouvrir droit aux prestations entrant en considération (art. 4 al. 2 LAI).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al.1bis LAI, prétendre une demi-rente s’il est invalide à 40 % au moins. Depuis le 1 er janvier 2004, date de l'entrée de la 4 ème révision AI, l'assuré a droit à un quart de rente s’il est invalide à 40 % au moins, à une demi-rente s'il est invalide à 50% au moins, à trois-quarts de rente s'il est invalide à 60% au moins et à une rente entière s'il est invalide à 70% au moins.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 En l'espèce, il résulte du dossier médical que la recourante souffre de cervicalgies, de lombalgies ainsi que de douleurs aux poignets engendrant, selon son médecin traitant, une incapacité de travail de 100 % depuis le 12 janvier 2001. Toutefois, l’IRM cervicale ne montre rien de significatif, hormis une discrète hernie discale médiane C5-C6 sans effet compressif. De même, la Dresse C__________, neurologue, n’a constaté cliniquement aucun signe d’atteinte radiculaire, avec un électroneuromyogramme quasiment normal. Du point de vue rhumatologique, l’expert mandaté par l’intimé a constaté qu’en ce qui concerne les genoux, il existe un status post ménisectomie partielle à gauche et des signes radiologiques d’une gonarthrose débutante à droite. Toutefois, l’expression clinique reste faible et le status fonctionnel des genoux est pratiquement normal. L’expert a observé que les plaintes décrites par la patiente au niveau cervical et lombaire sont assez importantes alors que sur le plan clinique, les limitations restent plutôt modérées, avec une corrélation radio-clinique assez faible. En tenant compte des limitations fonctionnelles, l’expert a estimé que la capacité résiduelle de travail dans l’activité de vendeuse est de 50 %, probablement depuis 1999, alors que dans une activité adaptée, elle est de 80 %. Sur le plan psychiatrique, le Dr E_________, psychiatre traitant, a évoqué le diagnostic de fibromyalgie et d’épisode dépressif sévère depuis début 2004, pour lequel un traitement antidépresseur a été instauré, ainsi qu’une thérapie cognitive et comportementale. Ce rapport succinct ne décrit cependant pas de façon détaillée le status psychique de la recourante. En outre, dans le questionnaire complémentaire pour les troubles psychiques, le médecin a indiqué que l’incapacité de travail était totale, sans plus d’explications. Dans ces conditions, c’est à juste titre que l’intimé a ordonné une expertise psychiatrique. En effet, dans un arrêt récent (ATFA du 8 février 2006, I 336/04, prévu pour la publication dans le Recueil officiel),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S. précité,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(arrêt S. précité, consid. 4.3). b) Selon l’expert psychiatre, le Dr F_________, les diagnostics retenus, soit un syndrome douloureux somatoforme persistant, une majoration des symptômes physiques pour des raisons psychologiques et une personnalité anxieuse n’ont pas de répercussion sur la capacité de travail. Il explique que le trouble somatoforme dont souffre l’assurée ne lui semble pas revêtir un degré d’handicap tel que l’assurée ne puisse pas mettre en œuvre ses ressources pour pouvoir travailler, étant rappelé qu’elle a un discours centré sur les symptômes physiques. Il conclut que l’incapacité de travail est au maximum de 20 %. Bien qu’il y ait une certaine contradiction dans les propos de l’expert, dans la mesure où il indique que les diagnostics n’ont pas d’influence sur la capacité de travail pour conclure ensuite à une incapacité de travail d’au maximum 20 %, le Tribunal de céans relève que l’état dépressif est décrit comme léger, réactionnel à l’apparition des douleurs et qu’il peut être inclus dans l’évolution naturelle d’un trouble somatoforme : l’expert expose que la plainte essentielle concerne une douleur intense et persistante, s’accompagnant d’un sentiment de détresse, non expliquée entièrement par un processus physiologique ou un trouble psychique, survenant dans un contexte de conflit émotionnel (hystérectomie, puis plus tard mort du père) et de problèmes psychosociaux suffisamment importants pour être considérés comme la cause essentielle du trouble. A cela s’ajoute le fait que les symptômes physiques sont amplifiés ou entretenus par l’état psychique de la recourante. Pour le surplus, le Tribunal de céans relève que l’expertise réalisée par le Dr F_________ comporte une anamnèse détaillée, qu’il a eu connaissance de l’entier du dossier, qu’il a pris en compte les plaintes de la recourante, qu’il a expliqué et motivé ses diagnostics, de sorte qu’elle revêt pleine valeur probante. Il sied par ailleurs de rappeler que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Au vu de ce qui précède, force est d'admettre que le syndrome douloureux chronique que présente la recourante n'est pas invalidant au sens de la jurisprudence, ce en l'absence d'une comorbidité psychiatrique d'une acuité et d'une durée suffisamment importante pour admettre qu'un effort de volonté en vue de surmonter la douleur et réintégrer un processus de travail n'est pas exigible de sa part. Il se justifie en conséquence de ne retenir que les limitations fonctionnelles somatiques décrites par le Dr D’ORO et d’admettre que la recourante présente une capacité de travail résiduelle de 50 % dans l’activité de vendeuse et de 80 % dans une activité adaptée. En l’occurrence, en bonne santé, la recourante aurait repris une activité à plein temps comme vendeuse, dès novembre 2000, pour des raisons financières. Au vu des pièces du dossier, c’est ainsi à juste titre que l’intimé l’a considérée comme une personne active. Selon l'art. 28 al. 2 LAI, en vigueur jusqu'au 31 décembre 2002, pour l'évaluation de l'invalidité, le revenu du travail que l'invalide pourrait obtenir exerçant l'activité qui peut être raisonnablement être exigée de lui, après exécution éventuelle de mesures de réadaptation et compte tenu d'une situation équilibrée du marché du travail, est comparé au revenu qu'il aurait pu obtenir s'il n'était pas invalide (cf. ég. art. 16 LPGA dès le 1 er janvier 2003).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En l'espèce, pour déterminer le gain sans invalidité, il convient de se référer aux données statistiques (Enquête suisse sur la structure des salaires [ESS]), les données de l’employeur faisant défaut. En 2002 (année d’ouverture du droit éventuel à une rente), le revenu mensuel que peut réaliser une femme dans le domaine de la vente au détail de biens de consommation et de services s’élève à 3'741 fr., pour 40 h par semaine, soit 3'900 fr. pour 41,7 h (ESS 2002, TA1 chiffre 52, niveau 4 activités simples et répétitives), soit 46'800 fr. par an. Pour évaluer le gain d'invalide, il y a lieu, conformément à une jurisprudence bien établie, de se référer aux ESS lorsque, comme en l'espèce, l'assurée n'a pas repris d'activité lucrative (ATF 126 V 76 consid. 3b/aa et bb; VSI 2002 p. 68 consid. 3b). Compte tenu d'un salaire mensuel brut en 2002 de 3'809 fr. pour une activité simple et répétitive de 40 heures dans le secteur de la production (ESS 2002, TA 1 niveau 4), soit 3 ' 970 fr. 90 pour 41,7 heures habituelles (La Vie économique 12/2002 p. 88 tableau B 9.2), le salaire annuel doit être fixé à 47'651 fr. Etant donné une capacité de travail de 80 %, le revenu brut déterminant s'élève à  38'120 fr. 80 . Lorsque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l'intimé a procédé à un abattement de 10 % compte tenu des limitations fonctionnelles. Le Tribunal de céans n'a pas de motif de s'écarter de cette appréciation. En conséquence, le salaire d'invalide, après abattement, s'élève à 34'308 fr. En conséquence, après comparaison de ce revenu avec celui obtenu sans invalidité, le degré d'invalidité doit être fixé à 26,69 %, insuffisant pour ouvrir droit à une rente. S'agissant des mesures d'ordre professionnel, le Tribunal de céans rappelle que selon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Toutefois, compte tenu du fait que lors de l'entretien avec la division de réadaptation professionnelle de l'intimé la recourante a clairement déclaré n'être pas en mesure de suivre des mesures professionnelles , force est d'admettre que de telles mesures n'entrent pas en ligne de compte. Mal fondé, le recours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