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A/1898/2004 vom 15. November 2004</w:t>
      </w:r>
    </w:p>
    <w:p>
      <w:r>
        <w:t>GE Cour de justice, 2004-11-15, FR</w:t>
      </w:r>
    </w:p>
    <w:p>
      <w:r>
        <w:rPr>
          <w:b/>
        </w:rPr>
        <w:t xml:space="preserve">Quelle: </w:t>
      </w:r>
      <w:r>
        <w:t>https://mcp.opencaselaw.ch/entscheid/ge_gerichte_A_1898_2004</w:t>
      </w:r>
    </w:p>
    <w:p>
      <w:r>
        <w:t>FR: GE_GERICHTE A/1898/2004 du 15 novembre 2004</w:t>
      </w:r>
    </w:p>
    <w:p>
      <w:r>
        <w:t>IT: GE_GERICHTE A/1898/2004 del 15 novembre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15.11.2004 A/1898/2004</w:t>
      </w:r>
    </w:p>
    <w:p>
      <w:r>
        <w:t>A/1898/2004 ATAS/922/2004 du 15.11.2004 ( CHOMAG ) , RETIRE Par ces motifs RÉPUBLIQUE ET CANTON DE GENÈVE POUVOIR JUDICIAIRE A/1898/2004 ATAS/922/2004 ARRET DU TRIBUNAL CANTONAL DES ASSURANCES SOCIALES 6 ème Chambre du 15 novembre 2004 En la cause Monsieur T__________, recourant contre CAISSE CANTONALE GENEVOISE DE CHÔMAGE, rue de Montbrillant 40, 1201 Genève intimée Vu la décision sur opposition de l’Office cantonal de l’emploi du 16 août 2004 ; Vu le recours de M. T__________ du 14 septembre 2004 ; Vu les observations de l’Office cantonal de l’emploi du 11 octobre 2004 ; Vu la lettre du 21 octobre 2004 du recourant déclarant retirer son recours ; Vu en droit l’art. 89 al. 1 de la loi sur la procédure administrative du 12 septembre 1985. PAR CES MOTIFS, LE TRIBUNAL CANTONAL DES ASSURANCES SOCIALES Statuant conformément à la disposition transitoire de l’art. 162 LOJ Prend acte du retrait du recours ; Raye la cause du rôle ; La greffière : Nancy BISIN La Présidente : Valérie MONTANI Une copie conforme du présent arrêt est notifiée aux parties et au Secrétariat d’Etat à l’économie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